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00BD0DA4">
        <w:trPr>
          <w:trHeight w:val="699"/>
        </w:trPr>
        <w:tc>
          <w:tcPr>
            <w:tcW w:w="2547" w:type="dxa"/>
            <w:vAlign w:val="center"/>
          </w:tcPr>
          <w:p w14:paraId="28B4EA70" w14:textId="2E716851" w:rsidR="00E85B48" w:rsidRPr="00F15695" w:rsidRDefault="00DD7BEE" w:rsidP="00BD0DA4">
            <w:pPr>
              <w:jc w:val="center"/>
              <w:rPr>
                <w:b/>
              </w:rPr>
            </w:pPr>
            <w:r w:rsidRPr="00BD0DA4">
              <w:rPr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BD0DA4" w:rsidRPr="00BD0DA4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BD0DA4">
              <w:rPr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BD0DA4" w:rsidRPr="00BD0DA4">
              <w:rPr>
                <w:b/>
                <w:sz w:val="24"/>
                <w:szCs w:val="24"/>
              </w:rPr>
              <w:t xml:space="preserve">The </w:t>
            </w:r>
            <w:r w:rsidR="00B533CE">
              <w:rPr>
                <w:b/>
                <w:sz w:val="24"/>
                <w:szCs w:val="24"/>
              </w:rPr>
              <w:t>stability of the monarchy 1547-1558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5F4A96B3" w14:textId="297C7C94" w:rsidR="00BD0DA4" w:rsidRPr="005D652B" w:rsidRDefault="00DD7BEE" w:rsidP="00BD0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Road Map -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DC1">
              <w:rPr>
                <w:b/>
                <w:bCs/>
                <w:sz w:val="24"/>
                <w:szCs w:val="24"/>
              </w:rPr>
              <w:t xml:space="preserve"> </w:t>
            </w:r>
            <w:r w:rsidR="00BD0DA4" w:rsidRPr="00BD0DA4">
              <w:rPr>
                <w:b/>
                <w:bCs/>
                <w:sz w:val="28"/>
                <w:szCs w:val="28"/>
              </w:rPr>
              <w:t xml:space="preserve">Year 12 </w:t>
            </w:r>
            <w:r w:rsidR="00BD0DA4">
              <w:rPr>
                <w:b/>
                <w:i/>
                <w:sz w:val="28"/>
                <w:szCs w:val="28"/>
              </w:rPr>
              <w:t>‘</w:t>
            </w:r>
            <w:r w:rsidR="005068B6">
              <w:rPr>
                <w:b/>
                <w:i/>
                <w:sz w:val="28"/>
                <w:szCs w:val="28"/>
              </w:rPr>
              <w:t>Rebellion and Unrest 1547-1558</w:t>
            </w:r>
            <w:r w:rsidR="00BD0DA4">
              <w:rPr>
                <w:b/>
                <w:i/>
                <w:sz w:val="28"/>
                <w:szCs w:val="28"/>
              </w:rPr>
              <w:t>’</w:t>
            </w:r>
          </w:p>
          <w:p w14:paraId="14666195" w14:textId="4EC786FA" w:rsidR="00E85B48" w:rsidRPr="00E904C9" w:rsidRDefault="00E85B48" w:rsidP="00BD0D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D7BEE" w14:paraId="06C61167" w14:textId="32188040" w:rsidTr="001A1924">
        <w:trPr>
          <w:trHeight w:val="324"/>
        </w:trPr>
        <w:tc>
          <w:tcPr>
            <w:tcW w:w="2547" w:type="dxa"/>
            <w:vMerge w:val="restart"/>
          </w:tcPr>
          <w:p w14:paraId="72887347" w14:textId="0A3CE7AA" w:rsidR="00DD7BEE" w:rsidRPr="00584245" w:rsidRDefault="00DD7BEE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</w:t>
            </w:r>
            <w:r w:rsidR="00BD0DA4">
              <w:rPr>
                <w:sz w:val="20"/>
              </w:rPr>
              <w:t xml:space="preserve">introductory </w:t>
            </w:r>
            <w:r w:rsidRPr="00584245">
              <w:rPr>
                <w:sz w:val="20"/>
              </w:rPr>
              <w:t xml:space="preserve">unit you will </w:t>
            </w:r>
            <w:r w:rsidR="001A1924">
              <w:rPr>
                <w:sz w:val="20"/>
              </w:rPr>
              <w:t xml:space="preserve">have the opportunity to study </w:t>
            </w:r>
            <w:r w:rsidR="00BD0DA4">
              <w:rPr>
                <w:sz w:val="20"/>
              </w:rPr>
              <w:t xml:space="preserve">the </w:t>
            </w:r>
            <w:r w:rsidR="00B533CE">
              <w:rPr>
                <w:sz w:val="20"/>
              </w:rPr>
              <w:t>reasons for a ‘crisis’ of power and judge the overall threat to the stability of the monarchy.</w:t>
            </w:r>
            <w:r w:rsidR="001A1924">
              <w:rPr>
                <w:sz w:val="20"/>
              </w:rPr>
              <w:t xml:space="preserve">  The aims are as follows:</w:t>
            </w:r>
          </w:p>
          <w:p w14:paraId="4F2EF46A" w14:textId="266CD5A4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0B079A" w14:paraId="0684188D" w14:textId="7724BD5A" w:rsidTr="001A1924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211878DC" w14:textId="77777777" w:rsidR="001A1924" w:rsidRDefault="001A1924" w:rsidP="00BD0DA4">
            <w:pPr>
              <w:spacing w:after="0"/>
              <w:rPr>
                <w:sz w:val="20"/>
                <w:szCs w:val="20"/>
              </w:rPr>
            </w:pPr>
          </w:p>
          <w:p w14:paraId="028A163F" w14:textId="3AEFEB0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1A1924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546816E8" w14:textId="42E1596D" w:rsidR="00BD0DA4" w:rsidRPr="00BD0DA4" w:rsidRDefault="00BD0DA4" w:rsidP="00BD0D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1A1924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356586E7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3CC1AA7" w14:textId="7E559C9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BD0DA4" w14:paraId="38117466" w14:textId="77777777" w:rsidTr="001A1924">
        <w:trPr>
          <w:trHeight w:val="255"/>
        </w:trPr>
        <w:tc>
          <w:tcPr>
            <w:tcW w:w="2547" w:type="dxa"/>
            <w:vMerge/>
          </w:tcPr>
          <w:p w14:paraId="2A1E7B0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61CD541D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E627A41" w14:textId="12F5265C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2F9111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1A1924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0BBF0A04" w14:textId="77777777" w:rsidR="000B079A" w:rsidRDefault="000B079A" w:rsidP="00BD0DA4">
            <w:pPr>
              <w:spacing w:after="0"/>
              <w:rPr>
                <w:sz w:val="20"/>
                <w:szCs w:val="20"/>
              </w:rPr>
            </w:pPr>
          </w:p>
          <w:p w14:paraId="59C793AB" w14:textId="1D20BB52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0821B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58780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F0417" id="Group 8" o:spid="_x0000_s1026" style="position:absolute;margin-left:1.4pt;margin-top:4.6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PDFHdNwAAAAG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DD7BEE" w14:paraId="58E06230" w14:textId="360435D8" w:rsidTr="00B24E5E">
        <w:trPr>
          <w:trHeight w:val="210"/>
        </w:trPr>
        <w:tc>
          <w:tcPr>
            <w:tcW w:w="2547" w:type="dxa"/>
          </w:tcPr>
          <w:p w14:paraId="1ABC9D2C" w14:textId="322C1CAC" w:rsidR="005068B6" w:rsidRPr="00862814" w:rsidRDefault="00DD7BEE" w:rsidP="005068B6">
            <w:pPr>
              <w:widowControl w:val="0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 w:rsidRPr="00862814">
              <w:rPr>
                <w:rFonts w:cstheme="minorHAnsi"/>
              </w:rPr>
              <w:t>1)</w:t>
            </w:r>
            <w:r w:rsidR="005068B6" w:rsidRPr="00862814">
              <w:rPr>
                <w:rFonts w:cstheme="minorHAnsi"/>
              </w:rPr>
              <w:t xml:space="preserve"> </w:t>
            </w:r>
            <w:r w:rsidR="005068B6" w:rsidRPr="00862814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 Key Question </w:t>
            </w:r>
            <w:r w:rsidR="00862814" w:rsidRPr="00862814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>–</w:t>
            </w:r>
            <w:r w:rsidR="005068B6" w:rsidRPr="00862814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 </w:t>
            </w:r>
            <w:r w:rsidR="00862814" w:rsidRPr="00862814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>How serious were the social and economic problems of the mid-Tudor crisis?</w:t>
            </w:r>
          </w:p>
          <w:p w14:paraId="59E8F3DE" w14:textId="23572ADA" w:rsidR="00DD7BEE" w:rsidRPr="00862814" w:rsidRDefault="00DD7BEE" w:rsidP="005068B6">
            <w:pPr>
              <w:spacing w:after="0"/>
              <w:rPr>
                <w:rFonts w:cstheme="minorHAnsi"/>
              </w:rPr>
            </w:pPr>
          </w:p>
        </w:tc>
        <w:tc>
          <w:tcPr>
            <w:tcW w:w="5997" w:type="dxa"/>
            <w:gridSpan w:val="2"/>
          </w:tcPr>
          <w:p w14:paraId="20D8EC01" w14:textId="79E61DE4" w:rsidR="005068B6" w:rsidRPr="00862814" w:rsidRDefault="005068B6" w:rsidP="005068B6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628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LG1: to know and understand the causes of the 1549 rebellions</w:t>
            </w:r>
          </w:p>
          <w:p w14:paraId="3CE2B6A8" w14:textId="77777777" w:rsidR="005068B6" w:rsidRPr="00862814" w:rsidRDefault="005068B6" w:rsidP="00506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628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LG2: to apply this knowledge and make a judgement about their importance</w:t>
            </w:r>
          </w:p>
          <w:p w14:paraId="6211553F" w14:textId="60863222" w:rsidR="00DD7BEE" w:rsidRPr="00862814" w:rsidRDefault="005068B6" w:rsidP="005068B6">
            <w:pPr>
              <w:spacing w:after="0"/>
            </w:pPr>
            <w:r w:rsidRPr="008628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LG3: causes</w:t>
            </w:r>
          </w:p>
        </w:tc>
        <w:tc>
          <w:tcPr>
            <w:tcW w:w="726" w:type="dxa"/>
          </w:tcPr>
          <w:p w14:paraId="000DA362" w14:textId="3DC6C58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DD7BEE" w:rsidRDefault="00DD7BEE" w:rsidP="00B533CE">
            <w:pPr>
              <w:spacing w:after="0"/>
            </w:pPr>
          </w:p>
        </w:tc>
      </w:tr>
      <w:tr w:rsidR="00862814" w14:paraId="6905CFC4" w14:textId="77777777" w:rsidTr="00B24E5E">
        <w:trPr>
          <w:trHeight w:val="225"/>
        </w:trPr>
        <w:tc>
          <w:tcPr>
            <w:tcW w:w="2547" w:type="dxa"/>
          </w:tcPr>
          <w:p w14:paraId="494150C0" w14:textId="003D8504" w:rsidR="00862814" w:rsidRPr="00862814" w:rsidRDefault="00862814" w:rsidP="00862814">
            <w:pPr>
              <w:widowControl w:val="0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 w:rsidRPr="00862814">
              <w:rPr>
                <w:rFonts w:cstheme="minorHAnsi"/>
              </w:rPr>
              <w:t xml:space="preserve">2) </w:t>
            </w:r>
            <w:r w:rsidRPr="00862814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 xml:space="preserve"> Key Question – What were the causes and nature of the unrest in 1549?</w:t>
            </w:r>
          </w:p>
          <w:p w14:paraId="38B83FC4" w14:textId="7C516A81" w:rsidR="00862814" w:rsidRPr="00862814" w:rsidRDefault="00862814" w:rsidP="00862814">
            <w:pPr>
              <w:widowControl w:val="0"/>
              <w:spacing w:after="0"/>
              <w:rPr>
                <w:rFonts w:eastAsia="Times New Roman" w:cstheme="minorHAnsi"/>
                <w:color w:val="000000"/>
                <w:kern w:val="28"/>
                <w:u w:val="single"/>
                <w:lang w:eastAsia="en-GB"/>
                <w14:cntxtAlts/>
              </w:rPr>
            </w:pPr>
          </w:p>
          <w:p w14:paraId="0F73123B" w14:textId="77777777" w:rsidR="00862814" w:rsidRPr="00862814" w:rsidRDefault="00862814" w:rsidP="0086281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 w:rsidRPr="00862814"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  <w:t> </w:t>
            </w:r>
          </w:p>
          <w:p w14:paraId="498DDBB4" w14:textId="0931D00C" w:rsidR="00862814" w:rsidRPr="00862814" w:rsidRDefault="00862814" w:rsidP="00862814">
            <w:pPr>
              <w:spacing w:after="0"/>
              <w:rPr>
                <w:rFonts w:cstheme="minorHAnsi"/>
              </w:rPr>
            </w:pPr>
          </w:p>
        </w:tc>
        <w:tc>
          <w:tcPr>
            <w:tcW w:w="5997" w:type="dxa"/>
            <w:gridSpan w:val="2"/>
          </w:tcPr>
          <w:p w14:paraId="2B2C7DBD" w14:textId="77777777" w:rsidR="00862814" w:rsidRPr="00862814" w:rsidRDefault="00862814" w:rsidP="00862814">
            <w:r w:rsidRPr="00862814">
              <w:t>LG1: to know and understand the causes of the 1549 rebellions</w:t>
            </w:r>
          </w:p>
          <w:p w14:paraId="64E0962C" w14:textId="77777777" w:rsidR="00862814" w:rsidRPr="00862814" w:rsidRDefault="00862814" w:rsidP="00862814">
            <w:r w:rsidRPr="00862814">
              <w:t>LG2: to apply this knowledge and make a judgement about their importance</w:t>
            </w:r>
          </w:p>
          <w:p w14:paraId="41477595" w14:textId="16EE0003" w:rsidR="00862814" w:rsidRPr="00862814" w:rsidRDefault="00862814" w:rsidP="00862814">
            <w:pPr>
              <w:spacing w:after="0"/>
            </w:pPr>
            <w:r w:rsidRPr="00862814">
              <w:t xml:space="preserve">LG3: causation </w:t>
            </w:r>
          </w:p>
        </w:tc>
        <w:tc>
          <w:tcPr>
            <w:tcW w:w="726" w:type="dxa"/>
          </w:tcPr>
          <w:p w14:paraId="6232629A" w14:textId="0FC0279D" w:rsidR="00862814" w:rsidRDefault="00862814" w:rsidP="00862814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862814" w:rsidRDefault="00862814" w:rsidP="00862814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862814" w:rsidRDefault="00862814" w:rsidP="00862814">
            <w:pPr>
              <w:spacing w:after="0"/>
            </w:pPr>
          </w:p>
        </w:tc>
      </w:tr>
      <w:tr w:rsidR="00862814" w14:paraId="0FBDD03C" w14:textId="77777777" w:rsidTr="00B24E5E">
        <w:trPr>
          <w:trHeight w:val="225"/>
        </w:trPr>
        <w:tc>
          <w:tcPr>
            <w:tcW w:w="2547" w:type="dxa"/>
          </w:tcPr>
          <w:p w14:paraId="7E746322" w14:textId="2CC0C578" w:rsidR="00862814" w:rsidRPr="00862814" w:rsidRDefault="00862814" w:rsidP="008628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862814">
              <w:rPr>
                <w:rFonts w:cstheme="minorHAnsi"/>
              </w:rPr>
              <w:t xml:space="preserve">3) Key Question - </w:t>
            </w:r>
            <w:r w:rsidRPr="00862814"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  <w:t>Study Skills: Using a set of sources with confidence</w:t>
            </w:r>
          </w:p>
          <w:p w14:paraId="520C0537" w14:textId="77777777" w:rsidR="00862814" w:rsidRPr="00862814" w:rsidRDefault="00862814" w:rsidP="008628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862814"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  <w:t>Interpretations of the main causes of the unrest in 1549</w:t>
            </w:r>
          </w:p>
          <w:p w14:paraId="63F525B8" w14:textId="5324A86B" w:rsidR="00862814" w:rsidRPr="00862814" w:rsidRDefault="00862814" w:rsidP="00862814">
            <w:pPr>
              <w:spacing w:after="0"/>
              <w:rPr>
                <w:rFonts w:cstheme="minorHAnsi"/>
              </w:rPr>
            </w:pPr>
          </w:p>
        </w:tc>
        <w:tc>
          <w:tcPr>
            <w:tcW w:w="5997" w:type="dxa"/>
            <w:gridSpan w:val="2"/>
          </w:tcPr>
          <w:p w14:paraId="33EB8279" w14:textId="77777777" w:rsidR="00862814" w:rsidRPr="00862814" w:rsidRDefault="00862814" w:rsidP="0086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628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LG2: pupils to apply their knowledge of the causes of the 1549 rebellions to evaluate the usefulness of sources</w:t>
            </w:r>
          </w:p>
          <w:p w14:paraId="4EB4E1E1" w14:textId="6CF933D8" w:rsidR="00862814" w:rsidRPr="00862814" w:rsidRDefault="00862814" w:rsidP="00862814">
            <w:pPr>
              <w:spacing w:after="0"/>
            </w:pPr>
            <w:r w:rsidRPr="008628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LG3: source analysis</w:t>
            </w:r>
          </w:p>
        </w:tc>
        <w:tc>
          <w:tcPr>
            <w:tcW w:w="726" w:type="dxa"/>
          </w:tcPr>
          <w:p w14:paraId="0C4A4D02" w14:textId="77777777" w:rsidR="00862814" w:rsidRDefault="00862814" w:rsidP="00862814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862814" w:rsidRDefault="00862814" w:rsidP="00862814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862814" w:rsidRDefault="00862814" w:rsidP="00862814">
            <w:pPr>
              <w:spacing w:after="0"/>
            </w:pPr>
          </w:p>
        </w:tc>
      </w:tr>
      <w:tr w:rsidR="00862814" w14:paraId="062B3143" w14:textId="77777777" w:rsidTr="00B24E5E">
        <w:trPr>
          <w:trHeight w:val="225"/>
        </w:trPr>
        <w:tc>
          <w:tcPr>
            <w:tcW w:w="2547" w:type="dxa"/>
          </w:tcPr>
          <w:p w14:paraId="633FFE87" w14:textId="7A646036" w:rsidR="00862814" w:rsidRPr="00862814" w:rsidRDefault="00862814" w:rsidP="00862814">
            <w:pPr>
              <w:widowControl w:val="0"/>
              <w:rPr>
                <w:rFonts w:eastAsia="Times New Roman" w:cstheme="minorHAnsi"/>
                <w:color w:val="000000"/>
                <w:kern w:val="28"/>
                <w:lang w:eastAsia="en-GB"/>
                <w14:cntxtAlts/>
              </w:rPr>
            </w:pPr>
            <w:r w:rsidRPr="00862814">
              <w:rPr>
                <w:rFonts w:cstheme="minorHAnsi"/>
              </w:rPr>
              <w:t xml:space="preserve">4) Key Question – </w:t>
            </w:r>
            <w:bookmarkStart w:id="0" w:name="_GoBack"/>
            <w:bookmarkEnd w:id="0"/>
            <w:r w:rsidRPr="00862814">
              <w:t>Why did Mary face challenges to her rule in the first two years of her reign?</w:t>
            </w:r>
          </w:p>
          <w:p w14:paraId="22AF1D2A" w14:textId="3EA2B944" w:rsidR="00862814" w:rsidRPr="00862814" w:rsidRDefault="00862814" w:rsidP="00862814">
            <w:pPr>
              <w:rPr>
                <w:rFonts w:cstheme="minorHAnsi"/>
              </w:rPr>
            </w:pPr>
          </w:p>
        </w:tc>
        <w:tc>
          <w:tcPr>
            <w:tcW w:w="5997" w:type="dxa"/>
            <w:gridSpan w:val="2"/>
          </w:tcPr>
          <w:p w14:paraId="6D5881CC" w14:textId="77777777" w:rsidR="00862814" w:rsidRPr="00862814" w:rsidRDefault="00862814" w:rsidP="0086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628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LG1: to know the causes of the unrest and rebellions Mary faced in the early years</w:t>
            </w:r>
          </w:p>
          <w:p w14:paraId="77786EEF" w14:textId="77777777" w:rsidR="00862814" w:rsidRPr="00862814" w:rsidRDefault="00862814" w:rsidP="0086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628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LG2: to apply this knowledge to sources looking at the reasons for the rebellions</w:t>
            </w:r>
          </w:p>
          <w:p w14:paraId="32FE8BC8" w14:textId="6244C287" w:rsidR="00862814" w:rsidRPr="00862814" w:rsidRDefault="00862814" w:rsidP="00862814">
            <w:pPr>
              <w:spacing w:after="0"/>
            </w:pPr>
            <w:r w:rsidRPr="0086281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LG3: causation and source analysis</w:t>
            </w:r>
          </w:p>
        </w:tc>
        <w:tc>
          <w:tcPr>
            <w:tcW w:w="726" w:type="dxa"/>
          </w:tcPr>
          <w:p w14:paraId="6A4541FC" w14:textId="77777777" w:rsidR="00862814" w:rsidRDefault="00862814" w:rsidP="00862814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862814" w:rsidRDefault="00862814" w:rsidP="00862814">
            <w:pPr>
              <w:spacing w:after="0"/>
            </w:pPr>
          </w:p>
        </w:tc>
        <w:tc>
          <w:tcPr>
            <w:tcW w:w="711" w:type="dxa"/>
          </w:tcPr>
          <w:p w14:paraId="113DAD39" w14:textId="7169E308" w:rsidR="00862814" w:rsidRDefault="00862814" w:rsidP="00862814">
            <w:pPr>
              <w:spacing w:after="0"/>
            </w:pPr>
          </w:p>
        </w:tc>
      </w:tr>
    </w:tbl>
    <w:p w14:paraId="2C334CB1" w14:textId="6EFF166B" w:rsidR="00756B89" w:rsidRDefault="0020637D">
      <w:r w:rsidRPr="007134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45536" wp14:editId="1FAEBD74">
                <wp:simplePos x="0" y="0"/>
                <wp:positionH relativeFrom="margin">
                  <wp:align>left</wp:align>
                </wp:positionH>
                <wp:positionV relativeFrom="paragraph">
                  <wp:posOffset>8959382</wp:posOffset>
                </wp:positionV>
                <wp:extent cx="6734175" cy="9144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C0D82" w14:textId="77777777" w:rsidR="00E427BA" w:rsidRPr="008F327A" w:rsidRDefault="00E427BA" w:rsidP="00E427B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Links: </w:t>
                            </w:r>
                          </w:p>
                          <w:p w14:paraId="65B3969F" w14:textId="1ABDE823" w:rsidR="00F61560" w:rsidRPr="008F327A" w:rsidRDefault="00F61560" w:rsidP="00F6156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first unit focuses on the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mid-Tudor crisis 1547-1558, looking at the threats to stability during the time as a result of the rulers. It will feed into the next section of the religious changes and the threats posed by rebellion and unrest.</w:t>
                            </w: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Key history skills such as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source interpretation and source evaluation shape this unit</w:t>
                            </w: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446EE2E8" w14:textId="468D7066" w:rsidR="00E427BA" w:rsidRPr="007D0FDE" w:rsidRDefault="00E427BA" w:rsidP="00E427B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55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705.45pt;width:530.25pt;height:1in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" fillcolor="white [3201]" strokeweight="1.5pt">
                <v:textbox>
                  <w:txbxContent>
                    <w:p w14:paraId="170C0D82" w14:textId="77777777" w:rsidR="00E427BA" w:rsidRPr="008F327A" w:rsidRDefault="00E427BA" w:rsidP="00E427B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F327A">
                        <w:rPr>
                          <w:b/>
                          <w:sz w:val="20"/>
                          <w:szCs w:val="20"/>
                        </w:rPr>
                        <w:t xml:space="preserve">Links: </w:t>
                      </w:r>
                    </w:p>
                    <w:p w14:paraId="65B3969F" w14:textId="1ABDE823" w:rsidR="00F61560" w:rsidRPr="008F327A" w:rsidRDefault="00F61560" w:rsidP="00F6156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This first unit focuses on the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mid-Tudor crisis 1547-1558, looking at the threats to stability during the time as a result of the rulers. It will feed into the next section of the religious changes and the threats posed by rebellion and unrest.</w:t>
                      </w: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Key history skills such as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source interpretation and source evaluation shape this unit</w:t>
                      </w: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446EE2E8" w14:textId="468D7066" w:rsidR="00E427BA" w:rsidRPr="007D0FDE" w:rsidRDefault="00E427BA" w:rsidP="00E427BA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6B89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6CC9B" w14:textId="77777777" w:rsidR="006400B9" w:rsidRDefault="006400B9" w:rsidP="002A7221">
      <w:pPr>
        <w:spacing w:after="0" w:line="240" w:lineRule="auto"/>
      </w:pPr>
      <w:r>
        <w:separator/>
      </w:r>
    </w:p>
  </w:endnote>
  <w:endnote w:type="continuationSeparator" w:id="0">
    <w:p w14:paraId="5AD27A33" w14:textId="77777777" w:rsidR="006400B9" w:rsidRDefault="006400B9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DF2B" w14:textId="77777777" w:rsidR="006400B9" w:rsidRDefault="006400B9" w:rsidP="002A7221">
      <w:pPr>
        <w:spacing w:after="0" w:line="240" w:lineRule="auto"/>
      </w:pPr>
      <w:r>
        <w:separator/>
      </w:r>
    </w:p>
  </w:footnote>
  <w:footnote w:type="continuationSeparator" w:id="0">
    <w:p w14:paraId="24DC6DF6" w14:textId="77777777" w:rsidR="006400B9" w:rsidRDefault="006400B9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019"/>
    <w:multiLevelType w:val="hybridMultilevel"/>
    <w:tmpl w:val="E9DC5F22"/>
    <w:lvl w:ilvl="0" w:tplc="07A46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F26C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269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EE6A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0C4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6A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2CC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3493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CA99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366AD"/>
    <w:multiLevelType w:val="hybridMultilevel"/>
    <w:tmpl w:val="AC7A5208"/>
    <w:lvl w:ilvl="0" w:tplc="518E06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4858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D0E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76C6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C06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EB6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742F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4C8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2E71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E3810"/>
    <w:multiLevelType w:val="hybridMultilevel"/>
    <w:tmpl w:val="DEA4CC16"/>
    <w:lvl w:ilvl="0" w:tplc="00D41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CEE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8209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821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FC77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E0D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D23B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86D2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1CCF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72391"/>
    <w:multiLevelType w:val="hybridMultilevel"/>
    <w:tmpl w:val="A5A07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0520"/>
    <w:rsid w:val="00033CD4"/>
    <w:rsid w:val="00040012"/>
    <w:rsid w:val="000853F6"/>
    <w:rsid w:val="00097705"/>
    <w:rsid w:val="000A4ADB"/>
    <w:rsid w:val="000A54B8"/>
    <w:rsid w:val="000B079A"/>
    <w:rsid w:val="000F0257"/>
    <w:rsid w:val="00102EC2"/>
    <w:rsid w:val="001A1924"/>
    <w:rsid w:val="001C3968"/>
    <w:rsid w:val="001E6A96"/>
    <w:rsid w:val="001E7AF2"/>
    <w:rsid w:val="0020637D"/>
    <w:rsid w:val="00274AAC"/>
    <w:rsid w:val="002A28AD"/>
    <w:rsid w:val="002A7221"/>
    <w:rsid w:val="002F259E"/>
    <w:rsid w:val="0033675A"/>
    <w:rsid w:val="003459B1"/>
    <w:rsid w:val="00354BFB"/>
    <w:rsid w:val="0038722E"/>
    <w:rsid w:val="00396595"/>
    <w:rsid w:val="003B3F69"/>
    <w:rsid w:val="003C0534"/>
    <w:rsid w:val="003C6DFD"/>
    <w:rsid w:val="00470D54"/>
    <w:rsid w:val="00471B37"/>
    <w:rsid w:val="004C50D5"/>
    <w:rsid w:val="004D42C0"/>
    <w:rsid w:val="004D4AD1"/>
    <w:rsid w:val="004D6CD1"/>
    <w:rsid w:val="004D7B89"/>
    <w:rsid w:val="00500F22"/>
    <w:rsid w:val="005068B6"/>
    <w:rsid w:val="00523203"/>
    <w:rsid w:val="00554273"/>
    <w:rsid w:val="00584245"/>
    <w:rsid w:val="005B42AE"/>
    <w:rsid w:val="006400B9"/>
    <w:rsid w:val="00642A9E"/>
    <w:rsid w:val="006F6527"/>
    <w:rsid w:val="00703757"/>
    <w:rsid w:val="00756B89"/>
    <w:rsid w:val="00761238"/>
    <w:rsid w:val="0079299F"/>
    <w:rsid w:val="007955C7"/>
    <w:rsid w:val="007D0FDE"/>
    <w:rsid w:val="007D4110"/>
    <w:rsid w:val="007F5001"/>
    <w:rsid w:val="00827835"/>
    <w:rsid w:val="00831F97"/>
    <w:rsid w:val="00862814"/>
    <w:rsid w:val="008A1A2A"/>
    <w:rsid w:val="008B5004"/>
    <w:rsid w:val="008D491A"/>
    <w:rsid w:val="008E416C"/>
    <w:rsid w:val="008F327A"/>
    <w:rsid w:val="00971232"/>
    <w:rsid w:val="00984B3F"/>
    <w:rsid w:val="009A4AB4"/>
    <w:rsid w:val="009D7C2F"/>
    <w:rsid w:val="009E58DC"/>
    <w:rsid w:val="009F6D57"/>
    <w:rsid w:val="00A21092"/>
    <w:rsid w:val="00A4322C"/>
    <w:rsid w:val="00A962AA"/>
    <w:rsid w:val="00AA2260"/>
    <w:rsid w:val="00AA327F"/>
    <w:rsid w:val="00AE0ABA"/>
    <w:rsid w:val="00B23497"/>
    <w:rsid w:val="00B24E5E"/>
    <w:rsid w:val="00B46526"/>
    <w:rsid w:val="00B533CE"/>
    <w:rsid w:val="00B85982"/>
    <w:rsid w:val="00BC1C13"/>
    <w:rsid w:val="00BD0DA4"/>
    <w:rsid w:val="00C010E9"/>
    <w:rsid w:val="00C46DA0"/>
    <w:rsid w:val="00C53370"/>
    <w:rsid w:val="00C7069B"/>
    <w:rsid w:val="00C74B48"/>
    <w:rsid w:val="00CE49C5"/>
    <w:rsid w:val="00CF284B"/>
    <w:rsid w:val="00D137E1"/>
    <w:rsid w:val="00D445FC"/>
    <w:rsid w:val="00DA12FB"/>
    <w:rsid w:val="00DD7BEE"/>
    <w:rsid w:val="00DF21BB"/>
    <w:rsid w:val="00DF5D08"/>
    <w:rsid w:val="00E048FE"/>
    <w:rsid w:val="00E2559E"/>
    <w:rsid w:val="00E27C22"/>
    <w:rsid w:val="00E427BA"/>
    <w:rsid w:val="00E50992"/>
    <w:rsid w:val="00E54214"/>
    <w:rsid w:val="00E85B48"/>
    <w:rsid w:val="00E904C9"/>
    <w:rsid w:val="00F15695"/>
    <w:rsid w:val="00F61560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  <w:style w:type="paragraph" w:styleId="NormalWeb">
    <w:name w:val="Normal (Web)"/>
    <w:basedOn w:val="Normal"/>
    <w:uiPriority w:val="99"/>
    <w:semiHidden/>
    <w:unhideWhenUsed/>
    <w:rsid w:val="00B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B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A49A1-D136-4E12-AD5F-80DFFAA88553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Lawson, Becky</cp:lastModifiedBy>
  <cp:revision>3</cp:revision>
  <cp:lastPrinted>2019-09-10T08:54:00Z</cp:lastPrinted>
  <dcterms:created xsi:type="dcterms:W3CDTF">2019-09-25T17:48:00Z</dcterms:created>
  <dcterms:modified xsi:type="dcterms:W3CDTF">2019-10-03T17:12:00Z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