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2787853E" w:rsidR="00E85B48" w:rsidRPr="00F15695" w:rsidRDefault="00C26A4B" w:rsidP="00825467">
            <w:pPr>
              <w:jc w:val="center"/>
              <w:rPr>
                <w:b/>
              </w:rPr>
            </w:pPr>
            <w:r>
              <w:rPr>
                <w:b/>
              </w:rPr>
              <w:t>L1/2 Cambridge National in Sports Studies Unit RO52: Developing Sports Skills</w:t>
            </w:r>
            <w:r w:rsidR="00243550">
              <w:rPr>
                <w:b/>
              </w:rPr>
              <w:t xml:space="preserve"> – LO</w:t>
            </w:r>
            <w:r w:rsidR="008D4D02">
              <w:rPr>
                <w:b/>
              </w:rPr>
              <w:t>3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8D5BE6" w14:paraId="06C61167" w14:textId="32188040" w:rsidTr="00681CC4">
        <w:trPr>
          <w:trHeight w:val="324"/>
        </w:trPr>
        <w:tc>
          <w:tcPr>
            <w:tcW w:w="10590" w:type="dxa"/>
            <w:gridSpan w:val="5"/>
          </w:tcPr>
          <w:p w14:paraId="4FCD5440" w14:textId="77777777" w:rsidR="008D5BE6" w:rsidRPr="00584245" w:rsidRDefault="008D5BE6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>develop your skills, techniques and tactics in team and individual sports.</w:t>
            </w:r>
            <w:r w:rsidRPr="00584245">
              <w:rPr>
                <w:sz w:val="20"/>
              </w:rPr>
              <w:t xml:space="preserve"> The aims are as follows:</w:t>
            </w:r>
          </w:p>
          <w:p w14:paraId="1325FBD6" w14:textId="77777777" w:rsidR="008D5BE6" w:rsidRPr="00584245" w:rsidRDefault="008D5BE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33AF964" w14:textId="77777777" w:rsidR="008D5BE6" w:rsidRPr="00584245" w:rsidRDefault="008D5BE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787E3117" w:rsidR="008D5BE6" w:rsidRPr="00584245" w:rsidRDefault="008D5BE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8D5BE6" w14:paraId="791252E2" w14:textId="77777777" w:rsidTr="00490B3E">
        <w:trPr>
          <w:trHeight w:val="324"/>
        </w:trPr>
        <w:tc>
          <w:tcPr>
            <w:tcW w:w="2547" w:type="dxa"/>
          </w:tcPr>
          <w:p w14:paraId="72ED77EA" w14:textId="60B58C68" w:rsidR="008D5BE6" w:rsidRPr="00584245" w:rsidRDefault="008D5BE6" w:rsidP="008D5BE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5BBCE7B8" w14:textId="77777777" w:rsidR="008D5BE6" w:rsidRPr="00584245" w:rsidRDefault="008D5BE6" w:rsidP="008D5BE6">
            <w:pPr>
              <w:spacing w:after="0"/>
              <w:rPr>
                <w:sz w:val="20"/>
              </w:rPr>
            </w:pPr>
          </w:p>
        </w:tc>
      </w:tr>
      <w:tr w:rsidR="008D5BE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8D5BE6" w:rsidRPr="000F0257" w:rsidRDefault="008D5BE6" w:rsidP="008D5BE6">
            <w:pPr>
              <w:jc w:val="center"/>
              <w:rPr>
                <w:b/>
              </w:rPr>
            </w:pPr>
            <w:r>
              <w:rPr>
                <w:b/>
              </w:rPr>
              <w:t>Lesson Title.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8D5BE6" w:rsidRPr="000F0257" w:rsidRDefault="008D5BE6" w:rsidP="008D5BE6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726" w:type="dxa"/>
          </w:tcPr>
          <w:p w14:paraId="4E0D1487" w14:textId="16DB7890" w:rsidR="008D5BE6" w:rsidRDefault="008D5BE6" w:rsidP="008D5BE6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A867D" id="Group 8" o:spid="_x0000_s1026" style="position:absolute;margin-left:1.4pt;margin-top:14.3pt;width:91.5pt;height:26.5pt;z-index:251672576" coordsize="11620,33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&#13;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&#13;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&#13;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8D5BE6" w:rsidRDefault="008D5BE6" w:rsidP="008D5BE6"/>
        </w:tc>
        <w:tc>
          <w:tcPr>
            <w:tcW w:w="711" w:type="dxa"/>
          </w:tcPr>
          <w:p w14:paraId="3E194668" w14:textId="793E4BF7" w:rsidR="008D5BE6" w:rsidRDefault="008D5BE6" w:rsidP="008D5BE6"/>
        </w:tc>
      </w:tr>
      <w:tr w:rsidR="008D5BE6" w14:paraId="58E06230" w14:textId="360435D8" w:rsidTr="00B24E5E">
        <w:trPr>
          <w:trHeight w:val="210"/>
        </w:trPr>
        <w:tc>
          <w:tcPr>
            <w:tcW w:w="2547" w:type="dxa"/>
          </w:tcPr>
          <w:p w14:paraId="561E4EB6" w14:textId="63BE7475" w:rsidR="008D5BE6" w:rsidRPr="005929A8" w:rsidRDefault="008D5BE6" w:rsidP="008D5BE6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1. </w:t>
            </w:r>
            <w:r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Rules and Regulations</w:t>
            </w:r>
          </w:p>
          <w:p w14:paraId="5C2FA0EF" w14:textId="582D1F80" w:rsidR="008D5BE6" w:rsidRPr="005929A8" w:rsidRDefault="008D5BE6" w:rsidP="008D5BE6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E8F3DE" w14:textId="44F2ED09" w:rsidR="008D5BE6" w:rsidRPr="00243550" w:rsidRDefault="008D5BE6" w:rsidP="008D5BE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4CD7DAB1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</w:t>
            </w:r>
            <w:r>
              <w:rPr>
                <w:rFonts w:ascii="Tahoma" w:hAnsi="Tahoma" w:cs="Tahoma"/>
                <w:sz w:val="16"/>
                <w:szCs w:val="16"/>
              </w:rPr>
              <w:t>know the difference between rules and regulations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0FED9A16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LG1 - To know the </w:t>
            </w:r>
            <w:r>
              <w:rPr>
                <w:rFonts w:ascii="Tahoma" w:hAnsi="Tahoma" w:cs="Tahoma"/>
                <w:sz w:val="16"/>
                <w:szCs w:val="16"/>
              </w:rPr>
              <w:t>main rules and regulations of table tennis</w:t>
            </w:r>
          </w:p>
          <w:p w14:paraId="6211553F" w14:textId="293CF30B" w:rsidR="008D5BE6" w:rsidRPr="00243550" w:rsidRDefault="008D5BE6" w:rsidP="008D5B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LG2 - To be able to give practical examples of </w:t>
            </w:r>
            <w:r>
              <w:rPr>
                <w:rFonts w:ascii="Tahoma" w:hAnsi="Tahoma" w:cs="Tahoma"/>
                <w:sz w:val="16"/>
                <w:szCs w:val="16"/>
              </w:rPr>
              <w:t>why rules and regulations are so important</w:t>
            </w:r>
          </w:p>
        </w:tc>
        <w:tc>
          <w:tcPr>
            <w:tcW w:w="726" w:type="dxa"/>
          </w:tcPr>
          <w:p w14:paraId="000DA362" w14:textId="3DC6C58D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8D5BE6" w:rsidRDefault="008D5BE6" w:rsidP="008D5BE6">
            <w:pPr>
              <w:spacing w:after="0"/>
            </w:pPr>
          </w:p>
        </w:tc>
      </w:tr>
      <w:tr w:rsidR="008D5BE6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6303E035" w:rsidR="008D5BE6" w:rsidRPr="008D4D02" w:rsidRDefault="008D5BE6" w:rsidP="008D5BE6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Rules, Regulations and Scoring System</w:t>
            </w:r>
          </w:p>
        </w:tc>
        <w:tc>
          <w:tcPr>
            <w:tcW w:w="5997" w:type="dxa"/>
          </w:tcPr>
          <w:p w14:paraId="7E4D8A2E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LG1 - To know the </w:t>
            </w:r>
            <w:r>
              <w:rPr>
                <w:rFonts w:ascii="Tahoma" w:hAnsi="Tahoma" w:cs="Tahoma"/>
                <w:sz w:val="16"/>
                <w:szCs w:val="16"/>
              </w:rPr>
              <w:t>main rules and regulations of table tennis</w:t>
            </w:r>
          </w:p>
          <w:p w14:paraId="31ECFAA5" w14:textId="7FBB0D5B" w:rsidR="008D5BE6" w:rsidRPr="00243550" w:rsidRDefault="008D5BE6" w:rsidP="008D5B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LG1 – To know how the scoring system for table tennis works</w:t>
            </w:r>
          </w:p>
        </w:tc>
        <w:tc>
          <w:tcPr>
            <w:tcW w:w="726" w:type="dxa"/>
          </w:tcPr>
          <w:p w14:paraId="6B585F1C" w14:textId="77777777" w:rsidR="008D5BE6" w:rsidRDefault="008D5BE6" w:rsidP="008D5BE6"/>
        </w:tc>
        <w:tc>
          <w:tcPr>
            <w:tcW w:w="609" w:type="dxa"/>
          </w:tcPr>
          <w:p w14:paraId="3845A6D7" w14:textId="77777777" w:rsidR="008D5BE6" w:rsidRDefault="008D5BE6" w:rsidP="008D5BE6"/>
        </w:tc>
        <w:tc>
          <w:tcPr>
            <w:tcW w:w="711" w:type="dxa"/>
          </w:tcPr>
          <w:p w14:paraId="631E4EB6" w14:textId="30D91DB9" w:rsidR="008D5BE6" w:rsidRDefault="008D5BE6" w:rsidP="008D5BE6"/>
        </w:tc>
      </w:tr>
      <w:tr w:rsidR="008D5BE6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52467CA8" w:rsidR="008D5BE6" w:rsidRPr="008D4D02" w:rsidRDefault="008D5BE6" w:rsidP="008D5BE6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Consistency and accuracy</w:t>
            </w:r>
          </w:p>
        </w:tc>
        <w:tc>
          <w:tcPr>
            <w:tcW w:w="5997" w:type="dxa"/>
          </w:tcPr>
          <w:p w14:paraId="356A5F4F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- To </w:t>
            </w:r>
            <w:r>
              <w:rPr>
                <w:rFonts w:ascii="Tahoma" w:hAnsi="Tahoma" w:cs="Tahoma"/>
                <w:sz w:val="16"/>
                <w:szCs w:val="16"/>
              </w:rPr>
              <w:t>know what is meant by the terms consistency and accuracy</w:t>
            </w:r>
          </w:p>
          <w:p w14:paraId="4CD72022" w14:textId="77777777" w:rsidR="008D5BE6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- To </w:t>
            </w:r>
            <w:r>
              <w:rPr>
                <w:rFonts w:ascii="Tahoma" w:hAnsi="Tahoma" w:cs="Tahoma"/>
                <w:sz w:val="16"/>
                <w:szCs w:val="16"/>
              </w:rPr>
              <w:t>be able to give examples of officials being consistent and accurate</w:t>
            </w:r>
          </w:p>
          <w:p w14:paraId="41477595" w14:textId="73F8884C" w:rsidR="008D5BE6" w:rsidRPr="00243550" w:rsidRDefault="008D5BE6" w:rsidP="008D5BE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E6E5D">
              <w:rPr>
                <w:rFonts w:ascii="Tahoma" w:hAnsi="Tahoma" w:cs="Tahoma"/>
                <w:sz w:val="16"/>
                <w:szCs w:val="16"/>
              </w:rPr>
              <w:t>LG3 – To demonstrate consistency and accuracy in decision making as an umpire in a short game</w:t>
            </w:r>
          </w:p>
        </w:tc>
        <w:tc>
          <w:tcPr>
            <w:tcW w:w="726" w:type="dxa"/>
          </w:tcPr>
          <w:p w14:paraId="6232629A" w14:textId="0FC0279D" w:rsidR="008D5BE6" w:rsidRDefault="008D5BE6" w:rsidP="008D5BE6"/>
        </w:tc>
        <w:tc>
          <w:tcPr>
            <w:tcW w:w="609" w:type="dxa"/>
          </w:tcPr>
          <w:p w14:paraId="41FDA276" w14:textId="2F5D9242" w:rsidR="008D5BE6" w:rsidRDefault="008D5BE6" w:rsidP="008D5BE6"/>
        </w:tc>
        <w:tc>
          <w:tcPr>
            <w:tcW w:w="711" w:type="dxa"/>
          </w:tcPr>
          <w:p w14:paraId="3A4E4DA7" w14:textId="550EA439" w:rsidR="008D5BE6" w:rsidRDefault="008D5BE6" w:rsidP="008D5BE6"/>
        </w:tc>
      </w:tr>
      <w:tr w:rsidR="008D5BE6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0BE4B962" w:rsidR="008D5BE6" w:rsidRPr="008D4D02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Use of signalling</w:t>
            </w:r>
          </w:p>
          <w:p w14:paraId="63F525B8" w14:textId="4C20DE3D" w:rsidR="008D5BE6" w:rsidRPr="00243550" w:rsidRDefault="008D5BE6" w:rsidP="008D5B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2EB3AAB8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</w:t>
            </w:r>
            <w:r>
              <w:rPr>
                <w:rFonts w:ascii="Tahoma" w:hAnsi="Tahoma" w:cs="Tahoma"/>
                <w:sz w:val="16"/>
                <w:szCs w:val="16"/>
              </w:rPr>
              <w:t>know the signals that are used in table tennis officiating</w:t>
            </w:r>
          </w:p>
          <w:p w14:paraId="4EB4E1E1" w14:textId="3DA93281" w:rsidR="008D5BE6" w:rsidRPr="00243550" w:rsidRDefault="008D5BE6" w:rsidP="008D5B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– To </w:t>
            </w:r>
            <w:r>
              <w:rPr>
                <w:rFonts w:ascii="Tahoma" w:hAnsi="Tahoma" w:cs="Tahoma"/>
                <w:sz w:val="16"/>
                <w:szCs w:val="16"/>
              </w:rPr>
              <w:t>demonstrate the use of the signals in a game</w:t>
            </w:r>
          </w:p>
        </w:tc>
        <w:tc>
          <w:tcPr>
            <w:tcW w:w="726" w:type="dxa"/>
          </w:tcPr>
          <w:p w14:paraId="0C4A4D02" w14:textId="77777777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8D5BE6" w:rsidRDefault="008D5BE6" w:rsidP="008D5BE6">
            <w:pPr>
              <w:spacing w:after="0"/>
            </w:pPr>
          </w:p>
        </w:tc>
      </w:tr>
      <w:tr w:rsidR="008D5BE6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61540F49" w:rsidR="008D5BE6" w:rsidRPr="00AB426E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Communicating decisions</w:t>
            </w:r>
          </w:p>
        </w:tc>
        <w:tc>
          <w:tcPr>
            <w:tcW w:w="5997" w:type="dxa"/>
          </w:tcPr>
          <w:p w14:paraId="4AF93F9F" w14:textId="77777777" w:rsidR="008D5BE6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- To </w:t>
            </w:r>
            <w:r>
              <w:rPr>
                <w:rFonts w:ascii="Tahoma" w:hAnsi="Tahoma" w:cs="Tahoma"/>
                <w:sz w:val="16"/>
                <w:szCs w:val="16"/>
              </w:rPr>
              <w:t>know the calls that are used in table tennis officiating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70A93F9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LG2 – To be able to give examples of why communicating effectively is so important.</w:t>
            </w:r>
          </w:p>
          <w:p w14:paraId="32FE8BC8" w14:textId="4BDB8FCC" w:rsidR="008D5BE6" w:rsidRPr="00243550" w:rsidRDefault="008D5BE6" w:rsidP="008D5B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LG3 – To demonstrate the </w:t>
            </w:r>
            <w:r>
              <w:rPr>
                <w:rFonts w:ascii="Tahoma" w:hAnsi="Tahoma" w:cs="Tahoma"/>
                <w:sz w:val="16"/>
                <w:szCs w:val="16"/>
              </w:rPr>
              <w:t>correct use of these calls in a game</w:t>
            </w:r>
          </w:p>
        </w:tc>
        <w:tc>
          <w:tcPr>
            <w:tcW w:w="726" w:type="dxa"/>
          </w:tcPr>
          <w:p w14:paraId="6A4541FC" w14:textId="77777777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8D5BE6" w:rsidRDefault="008D5BE6" w:rsidP="008D5BE6">
            <w:pPr>
              <w:spacing w:after="0"/>
            </w:pPr>
          </w:p>
        </w:tc>
      </w:tr>
      <w:tr w:rsidR="008D5BE6" w14:paraId="7ADA448D" w14:textId="77777777" w:rsidTr="00B24E5E">
        <w:trPr>
          <w:trHeight w:val="225"/>
        </w:trPr>
        <w:tc>
          <w:tcPr>
            <w:tcW w:w="2547" w:type="dxa"/>
          </w:tcPr>
          <w:p w14:paraId="50FAAE5D" w14:textId="3C000E3C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6.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Positioning</w:t>
            </w:r>
          </w:p>
          <w:p w14:paraId="187EB197" w14:textId="6AA82E07" w:rsidR="008D5BE6" w:rsidRPr="00AB426E" w:rsidRDefault="008D5BE6" w:rsidP="008D5BE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6DBA12E2" w14:textId="77777777" w:rsidR="008D5BE6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– To </w:t>
            </w:r>
            <w:r>
              <w:rPr>
                <w:rFonts w:ascii="Tahoma" w:hAnsi="Tahoma" w:cs="Tahoma"/>
                <w:sz w:val="16"/>
                <w:szCs w:val="16"/>
              </w:rPr>
              <w:t>know the positioning of the table tennis umpire before and during the game.</w:t>
            </w:r>
          </w:p>
          <w:p w14:paraId="16735D11" w14:textId="77777777" w:rsidR="008D5BE6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LG2 – To be able to explain why their positioning is important.</w:t>
            </w:r>
          </w:p>
          <w:p w14:paraId="4F6FA680" w14:textId="6565DC63" w:rsidR="008D5BE6" w:rsidRPr="00AB426E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demonstrate the correct positioning while umpiring a game. </w:t>
            </w:r>
          </w:p>
        </w:tc>
        <w:tc>
          <w:tcPr>
            <w:tcW w:w="726" w:type="dxa"/>
          </w:tcPr>
          <w:p w14:paraId="095362A2" w14:textId="77777777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8D5BE6" w:rsidRDefault="008D5BE6" w:rsidP="008D5BE6">
            <w:pPr>
              <w:spacing w:after="0"/>
            </w:pPr>
          </w:p>
        </w:tc>
      </w:tr>
      <w:tr w:rsidR="008D5BE6" w14:paraId="4FF5FEB1" w14:textId="77777777" w:rsidTr="00B24E5E">
        <w:trPr>
          <w:trHeight w:val="225"/>
        </w:trPr>
        <w:tc>
          <w:tcPr>
            <w:tcW w:w="2547" w:type="dxa"/>
          </w:tcPr>
          <w:p w14:paraId="3486709F" w14:textId="249B439A" w:rsidR="008D5BE6" w:rsidRPr="005929A8" w:rsidRDefault="008D5BE6" w:rsidP="008D5BE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7.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Officiating assessment</w:t>
            </w:r>
          </w:p>
          <w:p w14:paraId="0C7FFA7F" w14:textId="0551F73C" w:rsidR="008D5BE6" w:rsidRPr="00AB426E" w:rsidRDefault="008D5BE6" w:rsidP="008D5BE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0586772C" w14:textId="2F34206B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LG3 – To demonstrate </w:t>
            </w:r>
            <w:r>
              <w:rPr>
                <w:rFonts w:ascii="Tahoma" w:hAnsi="Tahoma" w:cs="Tahoma"/>
                <w:sz w:val="16"/>
                <w:szCs w:val="16"/>
              </w:rPr>
              <w:t>effective equipment checks before a game.</w:t>
            </w:r>
          </w:p>
          <w:p w14:paraId="24B99170" w14:textId="346C0622" w:rsidR="008D5BE6" w:rsidRPr="00AB426E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– To demonstrate </w:t>
            </w:r>
            <w:r>
              <w:rPr>
                <w:rFonts w:ascii="Tahoma" w:hAnsi="Tahoma" w:cs="Tahoma"/>
                <w:sz w:val="16"/>
                <w:szCs w:val="16"/>
              </w:rPr>
              <w:t>the toss up before a game</w:t>
            </w:r>
          </w:p>
        </w:tc>
        <w:tc>
          <w:tcPr>
            <w:tcW w:w="726" w:type="dxa"/>
          </w:tcPr>
          <w:p w14:paraId="7E0D2B1C" w14:textId="77777777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8D5BE6" w:rsidRDefault="008D5BE6" w:rsidP="008D5BE6">
            <w:pPr>
              <w:spacing w:after="0"/>
            </w:pPr>
          </w:p>
        </w:tc>
      </w:tr>
      <w:tr w:rsidR="008D5BE6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70627686" w:rsidR="008D5BE6" w:rsidRPr="008D4D02" w:rsidRDefault="008D5BE6" w:rsidP="008D5BE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8.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Officiating assessment</w:t>
            </w:r>
          </w:p>
        </w:tc>
        <w:tc>
          <w:tcPr>
            <w:tcW w:w="5997" w:type="dxa"/>
          </w:tcPr>
          <w:p w14:paraId="21D7D711" w14:textId="77777777" w:rsidR="008D5BE6" w:rsidRPr="005929A8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effectively officiate a game of table tennis</w:t>
            </w:r>
          </w:p>
          <w:p w14:paraId="0043153A" w14:textId="58C53D91" w:rsidR="008D5BE6" w:rsidRPr="00AB426E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289206AC" w14:textId="77777777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8D5BE6" w:rsidRDefault="008D5BE6" w:rsidP="008D5BE6">
            <w:pPr>
              <w:spacing w:after="0"/>
            </w:pPr>
          </w:p>
        </w:tc>
      </w:tr>
      <w:tr w:rsidR="008D5BE6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62B05F36" w:rsidR="008D5BE6" w:rsidRPr="00AB426E" w:rsidRDefault="008D5BE6" w:rsidP="008D5BE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9.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Rules, regulations and scoring system test</w:t>
            </w:r>
          </w:p>
        </w:tc>
        <w:tc>
          <w:tcPr>
            <w:tcW w:w="5997" w:type="dxa"/>
          </w:tcPr>
          <w:p w14:paraId="308EA577" w14:textId="7AA02105" w:rsidR="008D5BE6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</w:t>
            </w:r>
            <w:r>
              <w:rPr>
                <w:rFonts w:ascii="Tahoma" w:hAnsi="Tahoma" w:cs="Tahoma"/>
                <w:sz w:val="16"/>
                <w:szCs w:val="16"/>
              </w:rPr>
              <w:t>be able to apply knowledge on the rule, regulations and scoring system to answer test questions.</w:t>
            </w:r>
          </w:p>
          <w:p w14:paraId="0C9A0589" w14:textId="09E3938C" w:rsidR="008D5BE6" w:rsidRPr="00AB426E" w:rsidRDefault="008D5BE6" w:rsidP="008D5BE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their knowledge and understanding of the officials role.</w:t>
            </w:r>
          </w:p>
        </w:tc>
        <w:tc>
          <w:tcPr>
            <w:tcW w:w="726" w:type="dxa"/>
          </w:tcPr>
          <w:p w14:paraId="0BD323A0" w14:textId="77777777" w:rsidR="008D5BE6" w:rsidRDefault="008D5BE6" w:rsidP="008D5BE6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8D5BE6" w:rsidRDefault="008D5BE6" w:rsidP="008D5BE6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8D5BE6" w:rsidRDefault="008D5BE6" w:rsidP="008D5BE6">
            <w:pPr>
              <w:spacing w:after="0"/>
            </w:pPr>
          </w:p>
        </w:tc>
      </w:tr>
    </w:tbl>
    <w:p w14:paraId="3E0DDE14" w14:textId="1A584DED" w:rsidR="00553593" w:rsidRDefault="008D5BE6"/>
    <w:p w14:paraId="478B309B" w14:textId="48B2439B" w:rsidR="00AB426E" w:rsidRDefault="008D5B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B9A4E" wp14:editId="32E3607C">
                <wp:simplePos x="0" y="0"/>
                <wp:positionH relativeFrom="margin">
                  <wp:posOffset>-47297</wp:posOffset>
                </wp:positionH>
                <wp:positionV relativeFrom="paragraph">
                  <wp:posOffset>59361</wp:posOffset>
                </wp:positionV>
                <wp:extent cx="6734175" cy="1229710"/>
                <wp:effectExtent l="12700" t="12700" r="952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2F199" w14:textId="77777777" w:rsidR="008D5BE6" w:rsidRPr="004F462A" w:rsidRDefault="008D5BE6" w:rsidP="008D5BE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0F82AC9A" w14:textId="1AA2EB61" w:rsidR="008D5BE6" w:rsidRPr="008D5BE6" w:rsidRDefault="008D5BE6" w:rsidP="008D5B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BE6">
                              <w:rPr>
                                <w:sz w:val="16"/>
                                <w:szCs w:val="16"/>
                              </w:rPr>
                              <w:t>LG1: Basic knowledge of the rules, regulations and scoring system of table tennis. What they are and why they are important to know when officiating.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These also link to other topics and units e.g. RO51.</w:t>
                            </w:r>
                            <w:bookmarkStart w:id="0" w:name="_GoBack"/>
                            <w:bookmarkEnd w:id="0"/>
                          </w:p>
                          <w:p w14:paraId="2324418D" w14:textId="4711DB23" w:rsidR="008D5BE6" w:rsidRPr="008D5BE6" w:rsidRDefault="008D5BE6" w:rsidP="008D5B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BE6">
                              <w:rPr>
                                <w:sz w:val="16"/>
                                <w:szCs w:val="16"/>
                              </w:rPr>
                              <w:t>LG2: Applying the rules and regulations in a practical situation. Knowing how to apply them to the game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earns higher marks for that component. </w:t>
                            </w:r>
                          </w:p>
                          <w:p w14:paraId="54AB064D" w14:textId="709CA12C" w:rsidR="008D5BE6" w:rsidRPr="00F437CE" w:rsidRDefault="008D5BE6" w:rsidP="008D5B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BE6">
                              <w:rPr>
                                <w:sz w:val="16"/>
                                <w:szCs w:val="16"/>
                              </w:rPr>
                              <w:t>LG3: Being able to perform and demonstrate the correct officiating responsibilities in a game situation to show</w:t>
                            </w:r>
                            <w:r>
                              <w:t xml:space="preserve"> </w:t>
                            </w:r>
                            <w:r w:rsidRPr="008D5BE6">
                              <w:rPr>
                                <w:sz w:val="16"/>
                                <w:szCs w:val="16"/>
                              </w:rPr>
                              <w:t>control and consistency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allows access to higher grades.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B9A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7pt;margin-top:4.65pt;width:530.25pt;height:96.8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" fillcolor="white [3201]" strokeweight="1.5pt">
                <v:textbox>
                  <w:txbxContent>
                    <w:p w14:paraId="2422F199" w14:textId="77777777" w:rsidR="008D5BE6" w:rsidRPr="004F462A" w:rsidRDefault="008D5BE6" w:rsidP="008D5BE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0F82AC9A" w14:textId="1AA2EB61" w:rsidR="008D5BE6" w:rsidRPr="008D5BE6" w:rsidRDefault="008D5BE6" w:rsidP="008D5BE6">
                      <w:pPr>
                        <w:rPr>
                          <w:sz w:val="16"/>
                          <w:szCs w:val="16"/>
                        </w:rPr>
                      </w:pPr>
                      <w:r w:rsidRPr="008D5BE6">
                        <w:rPr>
                          <w:sz w:val="16"/>
                          <w:szCs w:val="16"/>
                        </w:rPr>
                        <w:t>LG1: Basic knowledge of the rules, regulations and scoring system of table tennis. What they are and why they are important to know when officiating.</w:t>
                      </w:r>
                      <w:r>
                        <w:rPr>
                          <w:sz w:val="16"/>
                          <w:szCs w:val="16"/>
                        </w:rPr>
                        <w:t xml:space="preserve"> These also link to other topics and units e.g. RO51.</w:t>
                      </w:r>
                      <w:bookmarkStart w:id="1" w:name="_GoBack"/>
                      <w:bookmarkEnd w:id="1"/>
                    </w:p>
                    <w:p w14:paraId="2324418D" w14:textId="4711DB23" w:rsidR="008D5BE6" w:rsidRPr="008D5BE6" w:rsidRDefault="008D5BE6" w:rsidP="008D5BE6">
                      <w:pPr>
                        <w:rPr>
                          <w:sz w:val="16"/>
                          <w:szCs w:val="16"/>
                        </w:rPr>
                      </w:pPr>
                      <w:r w:rsidRPr="008D5BE6">
                        <w:rPr>
                          <w:sz w:val="16"/>
                          <w:szCs w:val="16"/>
                        </w:rPr>
                        <w:t>LG2: Applying the rules and regulations in a practical situation. Knowing how to apply them to the game</w:t>
                      </w:r>
                      <w:r>
                        <w:rPr>
                          <w:sz w:val="16"/>
                          <w:szCs w:val="16"/>
                        </w:rPr>
                        <w:t xml:space="preserve"> earns higher marks for that component. </w:t>
                      </w:r>
                    </w:p>
                    <w:p w14:paraId="54AB064D" w14:textId="709CA12C" w:rsidR="008D5BE6" w:rsidRPr="00F437CE" w:rsidRDefault="008D5BE6" w:rsidP="008D5BE6">
                      <w:pPr>
                        <w:rPr>
                          <w:sz w:val="16"/>
                          <w:szCs w:val="16"/>
                        </w:rPr>
                      </w:pPr>
                      <w:r w:rsidRPr="008D5BE6">
                        <w:rPr>
                          <w:sz w:val="16"/>
                          <w:szCs w:val="16"/>
                        </w:rPr>
                        <w:t>LG3: Being able to perform and demonstrate the correct officiating responsibilities in a game situation to show</w:t>
                      </w:r>
                      <w:r>
                        <w:t xml:space="preserve"> </w:t>
                      </w:r>
                      <w:r w:rsidRPr="008D5BE6">
                        <w:rPr>
                          <w:sz w:val="16"/>
                          <w:szCs w:val="16"/>
                        </w:rPr>
                        <w:t>control and consistency</w:t>
                      </w:r>
                      <w:r>
                        <w:rPr>
                          <w:sz w:val="16"/>
                          <w:szCs w:val="16"/>
                        </w:rPr>
                        <w:t xml:space="preserve"> allows access to higher grades.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A4ADB"/>
    <w:rsid w:val="000B079A"/>
    <w:rsid w:val="000F0257"/>
    <w:rsid w:val="001568AD"/>
    <w:rsid w:val="001C3968"/>
    <w:rsid w:val="001E6A96"/>
    <w:rsid w:val="00243550"/>
    <w:rsid w:val="00274AAC"/>
    <w:rsid w:val="002A28AD"/>
    <w:rsid w:val="002E0C04"/>
    <w:rsid w:val="002F259E"/>
    <w:rsid w:val="00317FA8"/>
    <w:rsid w:val="0033675A"/>
    <w:rsid w:val="003459B1"/>
    <w:rsid w:val="00377C94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D4D02"/>
    <w:rsid w:val="008D5BE6"/>
    <w:rsid w:val="008E416C"/>
    <w:rsid w:val="00971232"/>
    <w:rsid w:val="009D7C2F"/>
    <w:rsid w:val="00A4322C"/>
    <w:rsid w:val="00A962AA"/>
    <w:rsid w:val="00AB426E"/>
    <w:rsid w:val="00AE0ABA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7BEA-BBC2-4369-9449-D45FB036D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1892</Characters>
  <Application>Microsoft Office Word</Application>
  <DocSecurity>0</DocSecurity>
  <Lines>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3</cp:revision>
  <dcterms:created xsi:type="dcterms:W3CDTF">2019-07-27T14:54:00Z</dcterms:created>
  <dcterms:modified xsi:type="dcterms:W3CDTF">2019-08-13T19:49:00Z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