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9D25B5" w14:paraId="3F929C82" w14:textId="03B0101A" w:rsidTr="00E904C9">
        <w:trPr>
          <w:trHeight w:val="360"/>
        </w:trPr>
        <w:tc>
          <w:tcPr>
            <w:tcW w:w="2547" w:type="dxa"/>
            <w:vAlign w:val="center"/>
          </w:tcPr>
          <w:p w14:paraId="28B4EA70" w14:textId="39D1EB6C" w:rsidR="00E85B48" w:rsidRPr="009D25B5" w:rsidRDefault="00831538" w:rsidP="00BD6440">
            <w:pPr>
              <w:spacing w:after="0"/>
              <w:jc w:val="center"/>
              <w:rPr>
                <w:b/>
                <w:sz w:val="16"/>
                <w:szCs w:val="16"/>
              </w:rPr>
            </w:pPr>
            <w:r w:rsidRPr="009D25B5">
              <w:rPr>
                <w:b/>
                <w:sz w:val="16"/>
                <w:szCs w:val="16"/>
              </w:rPr>
              <w:t xml:space="preserve">Sixth Form </w:t>
            </w:r>
            <w:r w:rsidR="00DF21BB" w:rsidRPr="009D25B5">
              <w:rPr>
                <w:b/>
                <w:sz w:val="16"/>
                <w:szCs w:val="16"/>
              </w:rPr>
              <w:t xml:space="preserve">Unit </w:t>
            </w:r>
            <w:r w:rsidRPr="009D25B5">
              <w:rPr>
                <w:b/>
                <w:sz w:val="16"/>
                <w:szCs w:val="16"/>
              </w:rPr>
              <w:t>1</w:t>
            </w:r>
            <w:r w:rsidR="00DF21BB" w:rsidRPr="009D25B5">
              <w:rPr>
                <w:b/>
                <w:sz w:val="16"/>
                <w:szCs w:val="16"/>
              </w:rPr>
              <w:t xml:space="preserve"> </w:t>
            </w:r>
          </w:p>
        </w:tc>
        <w:tc>
          <w:tcPr>
            <w:tcW w:w="8043" w:type="dxa"/>
            <w:gridSpan w:val="6"/>
            <w:shd w:val="clear" w:color="auto" w:fill="000000" w:themeFill="text1"/>
            <w:vAlign w:val="center"/>
          </w:tcPr>
          <w:p w14:paraId="14666195" w14:textId="75FBB268" w:rsidR="00E85B48" w:rsidRPr="009D25B5" w:rsidRDefault="001E7AF2" w:rsidP="00BD6440">
            <w:pPr>
              <w:spacing w:after="0"/>
              <w:jc w:val="center"/>
              <w:rPr>
                <w:b/>
                <w:color w:val="FFFFFF" w:themeColor="background1"/>
                <w:sz w:val="16"/>
                <w:szCs w:val="16"/>
              </w:rPr>
            </w:pPr>
            <w:r w:rsidRPr="009D25B5">
              <w:rPr>
                <w:b/>
                <w:color w:val="FFFFFF" w:themeColor="background1"/>
                <w:sz w:val="16"/>
                <w:szCs w:val="16"/>
              </w:rPr>
              <w:t>Road Map</w:t>
            </w:r>
          </w:p>
        </w:tc>
      </w:tr>
      <w:tr w:rsidR="000B079A" w:rsidRPr="009D25B5" w14:paraId="06C61167" w14:textId="32188040" w:rsidTr="00B24E5E">
        <w:trPr>
          <w:trHeight w:val="324"/>
        </w:trPr>
        <w:tc>
          <w:tcPr>
            <w:tcW w:w="2547" w:type="dxa"/>
            <w:vMerge w:val="restart"/>
          </w:tcPr>
          <w:p w14:paraId="371E41C8" w14:textId="1A76F781" w:rsidR="002331B9" w:rsidRPr="009D25B5" w:rsidRDefault="000B079A" w:rsidP="00BD6440">
            <w:pPr>
              <w:spacing w:after="0"/>
              <w:rPr>
                <w:sz w:val="16"/>
                <w:szCs w:val="16"/>
              </w:rPr>
            </w:pPr>
            <w:r w:rsidRPr="009D25B5">
              <w:rPr>
                <w:sz w:val="16"/>
                <w:szCs w:val="16"/>
              </w:rPr>
              <w:t xml:space="preserve">In this unit you will </w:t>
            </w:r>
            <w:proofErr w:type="gramStart"/>
            <w:r w:rsidRPr="009D25B5">
              <w:rPr>
                <w:sz w:val="16"/>
                <w:szCs w:val="16"/>
              </w:rPr>
              <w:t xml:space="preserve">investigate </w:t>
            </w:r>
            <w:r w:rsidR="00BD6440" w:rsidRPr="009D25B5">
              <w:rPr>
                <w:sz w:val="16"/>
                <w:szCs w:val="16"/>
              </w:rPr>
              <w:t xml:space="preserve"> </w:t>
            </w:r>
            <w:r w:rsidR="002331B9" w:rsidRPr="009D25B5">
              <w:rPr>
                <w:sz w:val="16"/>
                <w:szCs w:val="16"/>
              </w:rPr>
              <w:t>strategies</w:t>
            </w:r>
            <w:proofErr w:type="gramEnd"/>
            <w:r w:rsidR="002331B9" w:rsidRPr="009D25B5">
              <w:rPr>
                <w:sz w:val="16"/>
                <w:szCs w:val="16"/>
              </w:rPr>
              <w:t xml:space="preserve"> to respect and understand you</w:t>
            </w:r>
            <w:r w:rsidR="009D25B5" w:rsidRPr="009D25B5">
              <w:rPr>
                <w:sz w:val="16"/>
                <w:szCs w:val="16"/>
              </w:rPr>
              <w:t>r</w:t>
            </w:r>
            <w:r w:rsidR="002331B9" w:rsidRPr="009D25B5">
              <w:rPr>
                <w:sz w:val="16"/>
                <w:szCs w:val="16"/>
              </w:rPr>
              <w:t>self</w:t>
            </w:r>
          </w:p>
          <w:p w14:paraId="4F2EF46A" w14:textId="266CD5A4" w:rsidR="000B079A" w:rsidRPr="009D25B5" w:rsidRDefault="000B079A" w:rsidP="00BD6440">
            <w:pPr>
              <w:spacing w:after="0"/>
              <w:rPr>
                <w:sz w:val="16"/>
                <w:szCs w:val="16"/>
              </w:rPr>
            </w:pPr>
            <w:r w:rsidRPr="009D25B5">
              <w:rPr>
                <w:b/>
                <w:sz w:val="16"/>
                <w:szCs w:val="16"/>
              </w:rPr>
              <w:t>LG1</w:t>
            </w:r>
            <w:r w:rsidRPr="009D25B5">
              <w:rPr>
                <w:sz w:val="16"/>
                <w:szCs w:val="16"/>
              </w:rPr>
              <w:t>: Knowledge</w:t>
            </w:r>
          </w:p>
          <w:p w14:paraId="384CC0B5" w14:textId="6E7B450D" w:rsidR="000B079A" w:rsidRPr="009D25B5" w:rsidRDefault="000B079A" w:rsidP="00BD6440">
            <w:pPr>
              <w:spacing w:after="0"/>
              <w:rPr>
                <w:sz w:val="16"/>
                <w:szCs w:val="16"/>
              </w:rPr>
            </w:pPr>
            <w:r w:rsidRPr="009D25B5">
              <w:rPr>
                <w:b/>
                <w:sz w:val="16"/>
                <w:szCs w:val="16"/>
              </w:rPr>
              <w:t>LG2</w:t>
            </w:r>
            <w:r w:rsidRPr="009D25B5">
              <w:rPr>
                <w:sz w:val="16"/>
                <w:szCs w:val="16"/>
              </w:rPr>
              <w:t>: Application</w:t>
            </w:r>
          </w:p>
          <w:p w14:paraId="49C0DC09" w14:textId="32861EEB" w:rsidR="000B079A" w:rsidRPr="009D25B5" w:rsidRDefault="000B079A" w:rsidP="00BD6440">
            <w:pPr>
              <w:spacing w:after="0"/>
              <w:rPr>
                <w:sz w:val="16"/>
                <w:szCs w:val="16"/>
              </w:rPr>
            </w:pPr>
            <w:r w:rsidRPr="009D25B5">
              <w:rPr>
                <w:b/>
                <w:sz w:val="16"/>
                <w:szCs w:val="16"/>
              </w:rPr>
              <w:t>LG3</w:t>
            </w:r>
            <w:r w:rsidRPr="009D25B5">
              <w:rPr>
                <w:sz w:val="16"/>
                <w:szCs w:val="16"/>
              </w:rPr>
              <w:t>: Skills</w:t>
            </w:r>
          </w:p>
        </w:tc>
        <w:tc>
          <w:tcPr>
            <w:tcW w:w="1815" w:type="dxa"/>
          </w:tcPr>
          <w:p w14:paraId="6578C887" w14:textId="50EEA67F" w:rsidR="000B079A" w:rsidRPr="009D25B5" w:rsidRDefault="000B079A" w:rsidP="00BD6440">
            <w:pPr>
              <w:spacing w:after="0"/>
              <w:rPr>
                <w:sz w:val="16"/>
                <w:szCs w:val="16"/>
              </w:rPr>
            </w:pPr>
            <w:r w:rsidRPr="009D25B5">
              <w:rPr>
                <w:sz w:val="16"/>
                <w:szCs w:val="16"/>
              </w:rPr>
              <w:t>Assessment Grades</w:t>
            </w:r>
          </w:p>
        </w:tc>
        <w:tc>
          <w:tcPr>
            <w:tcW w:w="2475" w:type="dxa"/>
          </w:tcPr>
          <w:p w14:paraId="5A99224F" w14:textId="77777777" w:rsidR="000B079A" w:rsidRPr="009D25B5" w:rsidRDefault="000B079A" w:rsidP="00BD6440">
            <w:pPr>
              <w:spacing w:after="0"/>
              <w:rPr>
                <w:sz w:val="16"/>
                <w:szCs w:val="16"/>
              </w:rPr>
            </w:pPr>
          </w:p>
        </w:tc>
        <w:tc>
          <w:tcPr>
            <w:tcW w:w="3753" w:type="dxa"/>
            <w:gridSpan w:val="4"/>
          </w:tcPr>
          <w:p w14:paraId="70FCE77F" w14:textId="77777777" w:rsidR="000B079A" w:rsidRPr="009D25B5" w:rsidRDefault="000B079A" w:rsidP="00BD6440">
            <w:pPr>
              <w:spacing w:after="0"/>
              <w:rPr>
                <w:sz w:val="16"/>
                <w:szCs w:val="16"/>
              </w:rPr>
            </w:pPr>
          </w:p>
        </w:tc>
      </w:tr>
      <w:tr w:rsidR="000B079A" w:rsidRPr="009D25B5" w14:paraId="0684188D" w14:textId="7724BD5A" w:rsidTr="00B24E5E">
        <w:trPr>
          <w:trHeight w:val="330"/>
        </w:trPr>
        <w:tc>
          <w:tcPr>
            <w:tcW w:w="2547" w:type="dxa"/>
            <w:vMerge/>
          </w:tcPr>
          <w:p w14:paraId="1DEC050A" w14:textId="77777777" w:rsidR="000B079A" w:rsidRPr="009D25B5" w:rsidRDefault="000B079A" w:rsidP="00BD6440">
            <w:pPr>
              <w:spacing w:after="0"/>
              <w:rPr>
                <w:sz w:val="16"/>
                <w:szCs w:val="16"/>
              </w:rPr>
            </w:pPr>
          </w:p>
        </w:tc>
        <w:tc>
          <w:tcPr>
            <w:tcW w:w="4290" w:type="dxa"/>
            <w:gridSpan w:val="2"/>
          </w:tcPr>
          <w:p w14:paraId="30A2FE17" w14:textId="20A5FA10" w:rsidR="00831538" w:rsidRPr="009D25B5" w:rsidRDefault="00831538" w:rsidP="00BD6440">
            <w:pPr>
              <w:spacing w:after="0"/>
              <w:rPr>
                <w:sz w:val="16"/>
                <w:szCs w:val="16"/>
              </w:rPr>
            </w:pPr>
            <w:r w:rsidRPr="009D25B5">
              <w:rPr>
                <w:sz w:val="16"/>
                <w:szCs w:val="16"/>
              </w:rPr>
              <w:t>Pre topic assessment</w:t>
            </w:r>
          </w:p>
          <w:p w14:paraId="028A163F" w14:textId="1D5A6A0C" w:rsidR="00831538" w:rsidRPr="009D25B5" w:rsidRDefault="00831538" w:rsidP="00BD6440">
            <w:pPr>
              <w:spacing w:after="0"/>
              <w:rPr>
                <w:sz w:val="16"/>
                <w:szCs w:val="16"/>
              </w:rPr>
            </w:pPr>
          </w:p>
        </w:tc>
        <w:tc>
          <w:tcPr>
            <w:tcW w:w="3753" w:type="dxa"/>
            <w:gridSpan w:val="4"/>
          </w:tcPr>
          <w:p w14:paraId="578114D0" w14:textId="77777777" w:rsidR="000B079A" w:rsidRPr="009D25B5" w:rsidRDefault="000B079A" w:rsidP="00BD6440">
            <w:pPr>
              <w:spacing w:after="0"/>
              <w:rPr>
                <w:sz w:val="16"/>
                <w:szCs w:val="16"/>
              </w:rPr>
            </w:pPr>
          </w:p>
        </w:tc>
      </w:tr>
      <w:tr w:rsidR="000B079A" w:rsidRPr="009D25B5" w14:paraId="3843AE8E" w14:textId="3DEBBB0E" w:rsidTr="00B24E5E">
        <w:trPr>
          <w:trHeight w:val="285"/>
        </w:trPr>
        <w:tc>
          <w:tcPr>
            <w:tcW w:w="2547" w:type="dxa"/>
            <w:vMerge/>
          </w:tcPr>
          <w:p w14:paraId="76F948BB" w14:textId="77777777" w:rsidR="000B079A" w:rsidRPr="009D25B5" w:rsidRDefault="000B079A" w:rsidP="00BD6440">
            <w:pPr>
              <w:spacing w:after="0"/>
              <w:rPr>
                <w:sz w:val="16"/>
                <w:szCs w:val="16"/>
              </w:rPr>
            </w:pPr>
          </w:p>
        </w:tc>
        <w:tc>
          <w:tcPr>
            <w:tcW w:w="4290" w:type="dxa"/>
            <w:gridSpan w:val="2"/>
          </w:tcPr>
          <w:p w14:paraId="546816E8" w14:textId="3B2FB939" w:rsidR="000B079A" w:rsidRPr="009D25B5" w:rsidRDefault="00831538" w:rsidP="00BD6440">
            <w:pPr>
              <w:spacing w:after="0"/>
              <w:rPr>
                <w:sz w:val="16"/>
                <w:szCs w:val="16"/>
              </w:rPr>
            </w:pPr>
            <w:r w:rsidRPr="009D25B5">
              <w:rPr>
                <w:sz w:val="16"/>
                <w:szCs w:val="16"/>
              </w:rPr>
              <w:t>Post topic assessment</w:t>
            </w:r>
          </w:p>
        </w:tc>
        <w:tc>
          <w:tcPr>
            <w:tcW w:w="3753" w:type="dxa"/>
            <w:gridSpan w:val="4"/>
          </w:tcPr>
          <w:p w14:paraId="1773D4AA" w14:textId="77777777" w:rsidR="000B079A" w:rsidRPr="009D25B5" w:rsidRDefault="000B079A" w:rsidP="00BD6440">
            <w:pPr>
              <w:spacing w:after="0"/>
              <w:rPr>
                <w:sz w:val="16"/>
                <w:szCs w:val="16"/>
              </w:rPr>
            </w:pPr>
          </w:p>
        </w:tc>
      </w:tr>
      <w:tr w:rsidR="000B079A" w:rsidRPr="009D25B5"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9D25B5" w:rsidRDefault="001E7AF2" w:rsidP="00BD6440">
            <w:pPr>
              <w:spacing w:after="0"/>
              <w:jc w:val="center"/>
              <w:rPr>
                <w:b/>
                <w:sz w:val="16"/>
                <w:szCs w:val="16"/>
              </w:rPr>
            </w:pPr>
            <w:r w:rsidRPr="009D25B5">
              <w:rPr>
                <w:b/>
                <w:sz w:val="16"/>
                <w:szCs w:val="16"/>
              </w:rPr>
              <w:t>Themes</w:t>
            </w:r>
          </w:p>
        </w:tc>
        <w:tc>
          <w:tcPr>
            <w:tcW w:w="5997" w:type="dxa"/>
            <w:gridSpan w:val="3"/>
            <w:shd w:val="clear" w:color="auto" w:fill="D9D9D9" w:themeFill="background1" w:themeFillShade="D9"/>
            <w:vAlign w:val="center"/>
          </w:tcPr>
          <w:p w14:paraId="6C88901A" w14:textId="66EB123D" w:rsidR="00CE49C5" w:rsidRPr="009D25B5" w:rsidRDefault="00831F97" w:rsidP="00BD6440">
            <w:pPr>
              <w:spacing w:after="0"/>
              <w:jc w:val="center"/>
              <w:rPr>
                <w:b/>
                <w:sz w:val="16"/>
                <w:szCs w:val="16"/>
              </w:rPr>
            </w:pPr>
            <w:r w:rsidRPr="009D25B5">
              <w:rPr>
                <w:b/>
                <w:sz w:val="16"/>
                <w:szCs w:val="16"/>
              </w:rPr>
              <w:t>Learning Goals/Outcomes</w:t>
            </w:r>
            <w:r w:rsidR="000A4ADB" w:rsidRPr="009D25B5">
              <w:rPr>
                <w:b/>
                <w:sz w:val="16"/>
                <w:szCs w:val="16"/>
              </w:rPr>
              <w:t>/</w:t>
            </w:r>
            <w:r w:rsidR="00584245" w:rsidRPr="009D25B5">
              <w:rPr>
                <w:b/>
                <w:sz w:val="16"/>
                <w:szCs w:val="16"/>
              </w:rPr>
              <w:t>Content</w:t>
            </w:r>
          </w:p>
        </w:tc>
        <w:tc>
          <w:tcPr>
            <w:tcW w:w="726" w:type="dxa"/>
          </w:tcPr>
          <w:p w14:paraId="4E0D1487" w14:textId="40902DBD" w:rsidR="00CE49C5" w:rsidRPr="009D25B5" w:rsidRDefault="00831538" w:rsidP="00BD6440">
            <w:pPr>
              <w:spacing w:after="0"/>
              <w:jc w:val="center"/>
              <w:rPr>
                <w:sz w:val="16"/>
                <w:szCs w:val="16"/>
              </w:rPr>
            </w:pPr>
            <w:r w:rsidRPr="009D25B5">
              <w:rPr>
                <w:sz w:val="16"/>
                <w:szCs w:val="16"/>
              </w:rPr>
              <w:t>R</w:t>
            </w:r>
          </w:p>
        </w:tc>
        <w:tc>
          <w:tcPr>
            <w:tcW w:w="609" w:type="dxa"/>
          </w:tcPr>
          <w:p w14:paraId="66D96C36" w14:textId="76378CB0" w:rsidR="00CE49C5" w:rsidRPr="009D25B5" w:rsidRDefault="00831538" w:rsidP="00BD6440">
            <w:pPr>
              <w:spacing w:after="0"/>
              <w:jc w:val="center"/>
              <w:rPr>
                <w:sz w:val="16"/>
                <w:szCs w:val="16"/>
              </w:rPr>
            </w:pPr>
            <w:r w:rsidRPr="009D25B5">
              <w:rPr>
                <w:sz w:val="16"/>
                <w:szCs w:val="16"/>
              </w:rPr>
              <w:t>A</w:t>
            </w:r>
          </w:p>
        </w:tc>
        <w:tc>
          <w:tcPr>
            <w:tcW w:w="711" w:type="dxa"/>
          </w:tcPr>
          <w:p w14:paraId="3E194668" w14:textId="4C1D44C2" w:rsidR="00CE49C5" w:rsidRPr="009D25B5" w:rsidRDefault="00831538" w:rsidP="00BD6440">
            <w:pPr>
              <w:spacing w:after="0"/>
              <w:jc w:val="center"/>
              <w:rPr>
                <w:sz w:val="16"/>
                <w:szCs w:val="16"/>
              </w:rPr>
            </w:pPr>
            <w:r w:rsidRPr="009D25B5">
              <w:rPr>
                <w:sz w:val="16"/>
                <w:szCs w:val="16"/>
              </w:rPr>
              <w:t>G</w:t>
            </w:r>
          </w:p>
        </w:tc>
      </w:tr>
      <w:tr w:rsidR="00BD6440" w:rsidRPr="009D25B5" w14:paraId="58E06230" w14:textId="360435D8" w:rsidTr="00B24E5E">
        <w:trPr>
          <w:trHeight w:val="210"/>
        </w:trPr>
        <w:tc>
          <w:tcPr>
            <w:tcW w:w="2547" w:type="dxa"/>
          </w:tcPr>
          <w:p w14:paraId="7E1E655E" w14:textId="77777777" w:rsidR="00BD6440" w:rsidRPr="009D25B5" w:rsidRDefault="00BD6440" w:rsidP="00BD6440">
            <w:pPr>
              <w:spacing w:after="0"/>
              <w:rPr>
                <w:sz w:val="16"/>
                <w:szCs w:val="16"/>
              </w:rPr>
            </w:pPr>
            <w:r w:rsidRPr="009D25B5">
              <w:rPr>
                <w:sz w:val="16"/>
                <w:szCs w:val="16"/>
                <w:lang w:val="en-US"/>
              </w:rPr>
              <w:t>Maintaining positive emotional wellbeing throughout life</w:t>
            </w:r>
          </w:p>
          <w:p w14:paraId="59E8F3DE" w14:textId="5B1285A3" w:rsidR="00BD6440" w:rsidRPr="009D25B5" w:rsidRDefault="00BD6440" w:rsidP="00BD6440">
            <w:pPr>
              <w:spacing w:after="0"/>
              <w:rPr>
                <w:sz w:val="16"/>
                <w:szCs w:val="16"/>
              </w:rPr>
            </w:pPr>
          </w:p>
        </w:tc>
        <w:tc>
          <w:tcPr>
            <w:tcW w:w="5997" w:type="dxa"/>
            <w:gridSpan w:val="3"/>
          </w:tcPr>
          <w:p w14:paraId="6F23CED7" w14:textId="77777777" w:rsidR="00BD6440" w:rsidRPr="009D25B5" w:rsidRDefault="00BD6440" w:rsidP="00BD6440">
            <w:pPr>
              <w:spacing w:after="0"/>
              <w:rPr>
                <w:sz w:val="16"/>
                <w:szCs w:val="16"/>
              </w:rPr>
            </w:pPr>
            <w:r w:rsidRPr="009D25B5">
              <w:rPr>
                <w:sz w:val="16"/>
                <w:szCs w:val="16"/>
              </w:rPr>
              <w:t>LG1:  Describe how different life events and circumstances can affect our mental health and emotional wellbeing through adolescence and adulthood. Describe strategies to manage these.</w:t>
            </w:r>
          </w:p>
          <w:p w14:paraId="4BC30C82" w14:textId="77777777" w:rsidR="00BD6440" w:rsidRPr="009D25B5" w:rsidRDefault="00BD6440" w:rsidP="00BD6440">
            <w:pPr>
              <w:spacing w:after="0"/>
              <w:rPr>
                <w:sz w:val="16"/>
                <w:szCs w:val="16"/>
              </w:rPr>
            </w:pPr>
            <w:r w:rsidRPr="009D25B5">
              <w:rPr>
                <w:sz w:val="16"/>
                <w:szCs w:val="16"/>
              </w:rPr>
              <w:t>LG2:  Explain in detail why different life events and circumstances can affect our mental health and emotional wellbeing and explain how different strategies to manage these could work.</w:t>
            </w:r>
          </w:p>
          <w:p w14:paraId="6211553F" w14:textId="14C3C18E" w:rsidR="00BD6440" w:rsidRPr="009D25B5" w:rsidRDefault="00BD6440" w:rsidP="00BD6440">
            <w:pPr>
              <w:spacing w:after="0"/>
              <w:rPr>
                <w:sz w:val="16"/>
                <w:szCs w:val="16"/>
              </w:rPr>
            </w:pPr>
            <w:r w:rsidRPr="009D25B5">
              <w:rPr>
                <w:sz w:val="16"/>
                <w:szCs w:val="16"/>
              </w:rPr>
              <w:t>LG3: Explain in detail using new key terminology why different life events and circumstances can affect our mental health and emotional wellbeing through adolescence and adulthood and whether there any situations or actions we should avoid and why.</w:t>
            </w:r>
          </w:p>
        </w:tc>
        <w:tc>
          <w:tcPr>
            <w:tcW w:w="726" w:type="dxa"/>
          </w:tcPr>
          <w:p w14:paraId="000DA362" w14:textId="3DC6C58D" w:rsidR="00BD6440" w:rsidRPr="009D25B5" w:rsidRDefault="00BD6440" w:rsidP="00BD6440">
            <w:pPr>
              <w:spacing w:after="0"/>
              <w:rPr>
                <w:sz w:val="16"/>
                <w:szCs w:val="16"/>
              </w:rPr>
            </w:pPr>
          </w:p>
        </w:tc>
        <w:tc>
          <w:tcPr>
            <w:tcW w:w="609" w:type="dxa"/>
          </w:tcPr>
          <w:p w14:paraId="1E5DF3EC" w14:textId="032C2859" w:rsidR="00BD6440" w:rsidRPr="009D25B5" w:rsidRDefault="00BD6440" w:rsidP="00BD6440">
            <w:pPr>
              <w:spacing w:after="0"/>
              <w:rPr>
                <w:sz w:val="16"/>
                <w:szCs w:val="16"/>
              </w:rPr>
            </w:pPr>
          </w:p>
        </w:tc>
        <w:tc>
          <w:tcPr>
            <w:tcW w:w="711" w:type="dxa"/>
          </w:tcPr>
          <w:p w14:paraId="5A927ACE" w14:textId="30C6C78F" w:rsidR="00BD6440" w:rsidRPr="009D25B5" w:rsidRDefault="00BD6440" w:rsidP="00BD6440">
            <w:pPr>
              <w:spacing w:after="0"/>
              <w:rPr>
                <w:sz w:val="16"/>
                <w:szCs w:val="16"/>
              </w:rPr>
            </w:pPr>
          </w:p>
        </w:tc>
      </w:tr>
      <w:tr w:rsidR="00BD6440" w:rsidRPr="009D25B5" w14:paraId="6905CFC4" w14:textId="77777777" w:rsidTr="00B24E5E">
        <w:trPr>
          <w:trHeight w:val="225"/>
        </w:trPr>
        <w:tc>
          <w:tcPr>
            <w:tcW w:w="2547" w:type="dxa"/>
          </w:tcPr>
          <w:p w14:paraId="34E50E66" w14:textId="77777777" w:rsidR="00BD6440" w:rsidRPr="009D25B5" w:rsidRDefault="00BD6440" w:rsidP="00BD6440">
            <w:pPr>
              <w:spacing w:after="0"/>
              <w:rPr>
                <w:sz w:val="16"/>
                <w:szCs w:val="16"/>
              </w:rPr>
            </w:pPr>
            <w:r w:rsidRPr="009D25B5">
              <w:rPr>
                <w:sz w:val="16"/>
                <w:szCs w:val="16"/>
              </w:rPr>
              <w:t xml:space="preserve">Positive and toxic masculinity: </w:t>
            </w:r>
          </w:p>
          <w:p w14:paraId="5266202B" w14:textId="77777777" w:rsidR="00BD6440" w:rsidRPr="009D25B5" w:rsidRDefault="00BD6440" w:rsidP="00BD6440">
            <w:pPr>
              <w:spacing w:after="0"/>
              <w:rPr>
                <w:sz w:val="16"/>
                <w:szCs w:val="16"/>
              </w:rPr>
            </w:pPr>
            <w:r w:rsidRPr="009D25B5">
              <w:rPr>
                <w:sz w:val="16"/>
                <w:szCs w:val="16"/>
              </w:rPr>
              <w:t>What does it mean to be a good man?</w:t>
            </w:r>
          </w:p>
          <w:p w14:paraId="498DDBB4" w14:textId="74CA718A" w:rsidR="00BD6440" w:rsidRPr="009D25B5" w:rsidRDefault="00BD6440" w:rsidP="00BD6440">
            <w:pPr>
              <w:spacing w:after="0"/>
              <w:rPr>
                <w:sz w:val="16"/>
                <w:szCs w:val="16"/>
              </w:rPr>
            </w:pPr>
          </w:p>
        </w:tc>
        <w:tc>
          <w:tcPr>
            <w:tcW w:w="5997" w:type="dxa"/>
            <w:gridSpan w:val="3"/>
          </w:tcPr>
          <w:p w14:paraId="32ECE58B" w14:textId="77777777" w:rsidR="00BD6440" w:rsidRPr="009D25B5" w:rsidRDefault="00BD6440" w:rsidP="00BD6440">
            <w:pPr>
              <w:spacing w:after="0"/>
              <w:rPr>
                <w:sz w:val="16"/>
                <w:szCs w:val="16"/>
              </w:rPr>
            </w:pPr>
            <w:r w:rsidRPr="009D25B5">
              <w:rPr>
                <w:sz w:val="16"/>
                <w:szCs w:val="16"/>
              </w:rPr>
              <w:t>LG1:  Correctly identify the different interpretations of the term masculinity and how toxic masculinity can negatively affect males as well as others around them.</w:t>
            </w:r>
          </w:p>
          <w:p w14:paraId="452EC9C1" w14:textId="77777777" w:rsidR="00BD6440" w:rsidRPr="009D25B5" w:rsidRDefault="00BD6440" w:rsidP="00BD6440">
            <w:pPr>
              <w:spacing w:after="0"/>
              <w:rPr>
                <w:sz w:val="16"/>
                <w:szCs w:val="16"/>
              </w:rPr>
            </w:pPr>
            <w:r w:rsidRPr="009D25B5">
              <w:rPr>
                <w:sz w:val="16"/>
                <w:szCs w:val="16"/>
              </w:rPr>
              <w:t>LG2: Describe in detail the qualities of both positive and toxic masculinity and how toxic masculinity can negatively affect males and others around them.</w:t>
            </w:r>
          </w:p>
          <w:p w14:paraId="41477595" w14:textId="2EFEDD29" w:rsidR="00BD6440" w:rsidRPr="009D25B5" w:rsidRDefault="00BD6440" w:rsidP="00BD6440">
            <w:pPr>
              <w:spacing w:after="0"/>
              <w:rPr>
                <w:sz w:val="16"/>
                <w:szCs w:val="16"/>
              </w:rPr>
            </w:pPr>
            <w:r w:rsidRPr="009D25B5">
              <w:rPr>
                <w:sz w:val="16"/>
                <w:szCs w:val="16"/>
              </w:rPr>
              <w:t>LG3: Explain how wider society forms our views of what are masculine and feminine.  Explain how toxic masculinity can damage the emotional range and mental health of males.</w:t>
            </w:r>
          </w:p>
        </w:tc>
        <w:tc>
          <w:tcPr>
            <w:tcW w:w="726" w:type="dxa"/>
          </w:tcPr>
          <w:p w14:paraId="6232629A" w14:textId="0FC0279D" w:rsidR="00BD6440" w:rsidRPr="009D25B5" w:rsidRDefault="00BD6440" w:rsidP="00BD6440">
            <w:pPr>
              <w:spacing w:after="0"/>
              <w:rPr>
                <w:sz w:val="16"/>
                <w:szCs w:val="16"/>
              </w:rPr>
            </w:pPr>
          </w:p>
        </w:tc>
        <w:tc>
          <w:tcPr>
            <w:tcW w:w="609" w:type="dxa"/>
          </w:tcPr>
          <w:p w14:paraId="41FDA276" w14:textId="2F5D9242" w:rsidR="00BD6440" w:rsidRPr="009D25B5" w:rsidRDefault="00BD6440" w:rsidP="00BD6440">
            <w:pPr>
              <w:spacing w:after="0"/>
              <w:rPr>
                <w:sz w:val="16"/>
                <w:szCs w:val="16"/>
              </w:rPr>
            </w:pPr>
          </w:p>
        </w:tc>
        <w:tc>
          <w:tcPr>
            <w:tcW w:w="711" w:type="dxa"/>
          </w:tcPr>
          <w:p w14:paraId="3A4E4DA7" w14:textId="33343823" w:rsidR="00BD6440" w:rsidRPr="009D25B5" w:rsidRDefault="00BD6440" w:rsidP="00BD6440">
            <w:pPr>
              <w:spacing w:after="0"/>
              <w:rPr>
                <w:sz w:val="16"/>
                <w:szCs w:val="16"/>
              </w:rPr>
            </w:pPr>
          </w:p>
        </w:tc>
      </w:tr>
      <w:tr w:rsidR="00BD6440" w:rsidRPr="009D25B5" w14:paraId="0FBDD03C" w14:textId="77777777" w:rsidTr="00B24E5E">
        <w:trPr>
          <w:trHeight w:val="225"/>
        </w:trPr>
        <w:tc>
          <w:tcPr>
            <w:tcW w:w="2547" w:type="dxa"/>
          </w:tcPr>
          <w:p w14:paraId="027744E4" w14:textId="77777777" w:rsidR="00BD6440" w:rsidRPr="009D25B5" w:rsidRDefault="00BD6440" w:rsidP="00BD6440">
            <w:pPr>
              <w:spacing w:after="0"/>
              <w:rPr>
                <w:sz w:val="16"/>
                <w:szCs w:val="16"/>
              </w:rPr>
            </w:pPr>
            <w:r w:rsidRPr="009D25B5">
              <w:rPr>
                <w:sz w:val="16"/>
                <w:szCs w:val="16"/>
              </w:rPr>
              <w:t>How can we relax and de-stress in a healthy way?</w:t>
            </w:r>
          </w:p>
          <w:p w14:paraId="63F525B8" w14:textId="6CCECC78" w:rsidR="00BD6440" w:rsidRPr="009D25B5" w:rsidRDefault="00BD6440" w:rsidP="00BD6440">
            <w:pPr>
              <w:spacing w:after="0"/>
              <w:rPr>
                <w:sz w:val="16"/>
                <w:szCs w:val="16"/>
              </w:rPr>
            </w:pPr>
          </w:p>
        </w:tc>
        <w:tc>
          <w:tcPr>
            <w:tcW w:w="5997" w:type="dxa"/>
            <w:gridSpan w:val="3"/>
          </w:tcPr>
          <w:p w14:paraId="349A8DE2" w14:textId="77777777" w:rsidR="00BD6440" w:rsidRPr="009D25B5" w:rsidRDefault="00BD6440" w:rsidP="00BD6440">
            <w:pPr>
              <w:spacing w:after="0"/>
              <w:rPr>
                <w:sz w:val="16"/>
                <w:szCs w:val="16"/>
              </w:rPr>
            </w:pPr>
            <w:r w:rsidRPr="009D25B5">
              <w:rPr>
                <w:sz w:val="16"/>
                <w:szCs w:val="16"/>
              </w:rPr>
              <w:t>LG1:  Identify why many students struggle with relaxation and identify some healthy ways we can relax and de-stress.</w:t>
            </w:r>
          </w:p>
          <w:p w14:paraId="2841F3A4" w14:textId="77777777" w:rsidR="00BD6440" w:rsidRPr="009D25B5" w:rsidRDefault="00BD6440" w:rsidP="00BD6440">
            <w:pPr>
              <w:spacing w:after="0"/>
              <w:rPr>
                <w:sz w:val="16"/>
                <w:szCs w:val="16"/>
              </w:rPr>
            </w:pPr>
            <w:r w:rsidRPr="009D25B5">
              <w:rPr>
                <w:sz w:val="16"/>
                <w:szCs w:val="16"/>
              </w:rPr>
              <w:t xml:space="preserve"> LG2:  Describe in detail numerous ways we can relax and destress in a healthy way. Describe how some activities prohibit relaxation.</w:t>
            </w:r>
          </w:p>
          <w:p w14:paraId="4EB4E1E1" w14:textId="052CB193" w:rsidR="00BD6440" w:rsidRPr="009D25B5" w:rsidRDefault="00BD6440" w:rsidP="00BD6440">
            <w:pPr>
              <w:spacing w:after="0"/>
              <w:rPr>
                <w:sz w:val="16"/>
                <w:szCs w:val="16"/>
              </w:rPr>
            </w:pPr>
            <w:r w:rsidRPr="009D25B5">
              <w:rPr>
                <w:sz w:val="16"/>
                <w:szCs w:val="16"/>
              </w:rPr>
              <w:t>LG3: Explain exactly how these healthy methods help our bodies and minds relax and how particular activities work to prohibit this.</w:t>
            </w:r>
          </w:p>
        </w:tc>
        <w:tc>
          <w:tcPr>
            <w:tcW w:w="726" w:type="dxa"/>
          </w:tcPr>
          <w:p w14:paraId="0C4A4D02" w14:textId="77777777" w:rsidR="00BD6440" w:rsidRPr="009D25B5" w:rsidRDefault="00BD6440" w:rsidP="00BD6440">
            <w:pPr>
              <w:spacing w:after="0"/>
              <w:rPr>
                <w:sz w:val="16"/>
                <w:szCs w:val="16"/>
              </w:rPr>
            </w:pPr>
          </w:p>
        </w:tc>
        <w:tc>
          <w:tcPr>
            <w:tcW w:w="609" w:type="dxa"/>
          </w:tcPr>
          <w:p w14:paraId="1978F828" w14:textId="77777777" w:rsidR="00BD6440" w:rsidRPr="009D25B5" w:rsidRDefault="00BD6440" w:rsidP="00BD6440">
            <w:pPr>
              <w:spacing w:after="0"/>
              <w:rPr>
                <w:sz w:val="16"/>
                <w:szCs w:val="16"/>
              </w:rPr>
            </w:pPr>
          </w:p>
        </w:tc>
        <w:tc>
          <w:tcPr>
            <w:tcW w:w="711" w:type="dxa"/>
          </w:tcPr>
          <w:p w14:paraId="50D4D35F" w14:textId="72B059F2" w:rsidR="00BD6440" w:rsidRPr="009D25B5" w:rsidRDefault="00BD6440" w:rsidP="00BD6440">
            <w:pPr>
              <w:spacing w:after="0"/>
              <w:rPr>
                <w:sz w:val="16"/>
                <w:szCs w:val="16"/>
              </w:rPr>
            </w:pPr>
          </w:p>
        </w:tc>
      </w:tr>
    </w:tbl>
    <w:p w14:paraId="07C723F2" w14:textId="5CEE582C" w:rsidR="00471B37" w:rsidRPr="009D25B5" w:rsidRDefault="00471B37" w:rsidP="00BD6440">
      <w:pPr>
        <w:spacing w:after="0"/>
        <w:rPr>
          <w:sz w:val="16"/>
          <w:szCs w:val="16"/>
        </w:rPr>
      </w:pPr>
    </w:p>
    <w:p w14:paraId="68DF06F7" w14:textId="77777777" w:rsidR="009D25B5" w:rsidRPr="009D25B5" w:rsidRDefault="009D25B5" w:rsidP="009D25B5">
      <w:pPr>
        <w:spacing w:after="0"/>
        <w:rPr>
          <w:sz w:val="16"/>
          <w:szCs w:val="16"/>
        </w:rPr>
      </w:pPr>
    </w:p>
    <w:tbl>
      <w:tblPr>
        <w:tblpPr w:leftFromText="180" w:rightFromText="180" w:vertAnchor="page" w:horzAnchor="margin" w:tblpY="793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9D25B5" w:rsidRPr="009D25B5" w14:paraId="63EE55DD" w14:textId="77777777" w:rsidTr="009D25B5">
        <w:trPr>
          <w:trHeight w:val="360"/>
        </w:trPr>
        <w:tc>
          <w:tcPr>
            <w:tcW w:w="2547" w:type="dxa"/>
            <w:vAlign w:val="center"/>
          </w:tcPr>
          <w:p w14:paraId="77551C32" w14:textId="77777777" w:rsidR="009D25B5" w:rsidRPr="009D25B5" w:rsidRDefault="009D25B5" w:rsidP="009D25B5">
            <w:pPr>
              <w:spacing w:after="0"/>
              <w:jc w:val="center"/>
              <w:rPr>
                <w:b/>
                <w:sz w:val="16"/>
                <w:szCs w:val="16"/>
              </w:rPr>
            </w:pPr>
            <w:r w:rsidRPr="009D25B5">
              <w:rPr>
                <w:b/>
                <w:sz w:val="16"/>
                <w:szCs w:val="16"/>
              </w:rPr>
              <w:t xml:space="preserve">Sixth Form Unit 1 </w:t>
            </w:r>
          </w:p>
        </w:tc>
        <w:tc>
          <w:tcPr>
            <w:tcW w:w="8043" w:type="dxa"/>
            <w:gridSpan w:val="6"/>
            <w:shd w:val="clear" w:color="auto" w:fill="000000" w:themeFill="text1"/>
            <w:vAlign w:val="center"/>
          </w:tcPr>
          <w:p w14:paraId="172790E5" w14:textId="77777777" w:rsidR="009D25B5" w:rsidRPr="009D25B5" w:rsidRDefault="009D25B5" w:rsidP="009D25B5">
            <w:pPr>
              <w:spacing w:after="0"/>
              <w:jc w:val="center"/>
              <w:rPr>
                <w:b/>
                <w:color w:val="FFFFFF" w:themeColor="background1"/>
                <w:sz w:val="16"/>
                <w:szCs w:val="16"/>
              </w:rPr>
            </w:pPr>
            <w:r w:rsidRPr="009D25B5">
              <w:rPr>
                <w:b/>
                <w:color w:val="FFFFFF" w:themeColor="background1"/>
                <w:sz w:val="16"/>
                <w:szCs w:val="16"/>
              </w:rPr>
              <w:t>Road Map</w:t>
            </w:r>
          </w:p>
        </w:tc>
      </w:tr>
      <w:tr w:rsidR="009D25B5" w:rsidRPr="009D25B5" w14:paraId="7A3262D3" w14:textId="77777777" w:rsidTr="009D25B5">
        <w:trPr>
          <w:trHeight w:val="324"/>
        </w:trPr>
        <w:tc>
          <w:tcPr>
            <w:tcW w:w="2547" w:type="dxa"/>
            <w:vMerge w:val="restart"/>
          </w:tcPr>
          <w:p w14:paraId="4960F3B9" w14:textId="77777777" w:rsidR="009D25B5" w:rsidRPr="009D25B5" w:rsidRDefault="009D25B5" w:rsidP="009D25B5">
            <w:pPr>
              <w:spacing w:after="0"/>
              <w:rPr>
                <w:sz w:val="16"/>
                <w:szCs w:val="16"/>
              </w:rPr>
            </w:pPr>
            <w:r w:rsidRPr="009D25B5">
              <w:rPr>
                <w:sz w:val="16"/>
                <w:szCs w:val="16"/>
              </w:rPr>
              <w:t xml:space="preserve">In this unit you will </w:t>
            </w:r>
            <w:proofErr w:type="gramStart"/>
            <w:r w:rsidRPr="009D25B5">
              <w:rPr>
                <w:sz w:val="16"/>
                <w:szCs w:val="16"/>
              </w:rPr>
              <w:t>investigate  strategies</w:t>
            </w:r>
            <w:proofErr w:type="gramEnd"/>
            <w:r w:rsidRPr="009D25B5">
              <w:rPr>
                <w:sz w:val="16"/>
                <w:szCs w:val="16"/>
              </w:rPr>
              <w:t xml:space="preserve"> to respect and understand yourself</w:t>
            </w:r>
          </w:p>
          <w:p w14:paraId="2772E463" w14:textId="77777777" w:rsidR="009D25B5" w:rsidRPr="009D25B5" w:rsidRDefault="009D25B5" w:rsidP="009D25B5">
            <w:pPr>
              <w:spacing w:after="0"/>
              <w:rPr>
                <w:sz w:val="16"/>
                <w:szCs w:val="16"/>
              </w:rPr>
            </w:pPr>
            <w:r w:rsidRPr="009D25B5">
              <w:rPr>
                <w:b/>
                <w:sz w:val="16"/>
                <w:szCs w:val="16"/>
              </w:rPr>
              <w:t>LG1</w:t>
            </w:r>
            <w:r w:rsidRPr="009D25B5">
              <w:rPr>
                <w:sz w:val="16"/>
                <w:szCs w:val="16"/>
              </w:rPr>
              <w:t>: Knowledge</w:t>
            </w:r>
          </w:p>
          <w:p w14:paraId="7DB07E2E" w14:textId="77777777" w:rsidR="009D25B5" w:rsidRPr="009D25B5" w:rsidRDefault="009D25B5" w:rsidP="009D25B5">
            <w:pPr>
              <w:spacing w:after="0"/>
              <w:rPr>
                <w:sz w:val="16"/>
                <w:szCs w:val="16"/>
              </w:rPr>
            </w:pPr>
            <w:r w:rsidRPr="009D25B5">
              <w:rPr>
                <w:b/>
                <w:sz w:val="16"/>
                <w:szCs w:val="16"/>
              </w:rPr>
              <w:t>LG2</w:t>
            </w:r>
            <w:r w:rsidRPr="009D25B5">
              <w:rPr>
                <w:sz w:val="16"/>
                <w:szCs w:val="16"/>
              </w:rPr>
              <w:t>: Application</w:t>
            </w:r>
          </w:p>
          <w:p w14:paraId="76E5B134" w14:textId="77777777" w:rsidR="009D25B5" w:rsidRPr="009D25B5" w:rsidRDefault="009D25B5" w:rsidP="009D25B5">
            <w:pPr>
              <w:spacing w:after="0"/>
              <w:rPr>
                <w:sz w:val="16"/>
                <w:szCs w:val="16"/>
              </w:rPr>
            </w:pPr>
            <w:r w:rsidRPr="009D25B5">
              <w:rPr>
                <w:b/>
                <w:sz w:val="16"/>
                <w:szCs w:val="16"/>
              </w:rPr>
              <w:t>LG3</w:t>
            </w:r>
            <w:r w:rsidRPr="009D25B5">
              <w:rPr>
                <w:sz w:val="16"/>
                <w:szCs w:val="16"/>
              </w:rPr>
              <w:t>: Skills</w:t>
            </w:r>
          </w:p>
        </w:tc>
        <w:tc>
          <w:tcPr>
            <w:tcW w:w="1815" w:type="dxa"/>
          </w:tcPr>
          <w:p w14:paraId="64CC19E4" w14:textId="77777777" w:rsidR="009D25B5" w:rsidRPr="009D25B5" w:rsidRDefault="009D25B5" w:rsidP="009D25B5">
            <w:pPr>
              <w:spacing w:after="0"/>
              <w:rPr>
                <w:sz w:val="16"/>
                <w:szCs w:val="16"/>
              </w:rPr>
            </w:pPr>
            <w:r w:rsidRPr="009D25B5">
              <w:rPr>
                <w:sz w:val="16"/>
                <w:szCs w:val="16"/>
              </w:rPr>
              <w:t>Assessment Grades</w:t>
            </w:r>
          </w:p>
        </w:tc>
        <w:tc>
          <w:tcPr>
            <w:tcW w:w="2475" w:type="dxa"/>
          </w:tcPr>
          <w:p w14:paraId="050A1F5E" w14:textId="77777777" w:rsidR="009D25B5" w:rsidRPr="009D25B5" w:rsidRDefault="009D25B5" w:rsidP="009D25B5">
            <w:pPr>
              <w:spacing w:after="0"/>
              <w:rPr>
                <w:sz w:val="16"/>
                <w:szCs w:val="16"/>
              </w:rPr>
            </w:pPr>
          </w:p>
        </w:tc>
        <w:tc>
          <w:tcPr>
            <w:tcW w:w="3753" w:type="dxa"/>
            <w:gridSpan w:val="4"/>
          </w:tcPr>
          <w:p w14:paraId="7061FCF6" w14:textId="77777777" w:rsidR="009D25B5" w:rsidRPr="009D25B5" w:rsidRDefault="009D25B5" w:rsidP="009D25B5">
            <w:pPr>
              <w:spacing w:after="0"/>
              <w:rPr>
                <w:sz w:val="16"/>
                <w:szCs w:val="16"/>
              </w:rPr>
            </w:pPr>
          </w:p>
        </w:tc>
      </w:tr>
      <w:tr w:rsidR="009D25B5" w:rsidRPr="009D25B5" w14:paraId="5B0AF50D" w14:textId="77777777" w:rsidTr="009D25B5">
        <w:trPr>
          <w:trHeight w:val="330"/>
        </w:trPr>
        <w:tc>
          <w:tcPr>
            <w:tcW w:w="2547" w:type="dxa"/>
            <w:vMerge/>
          </w:tcPr>
          <w:p w14:paraId="7A06236C" w14:textId="77777777" w:rsidR="009D25B5" w:rsidRPr="009D25B5" w:rsidRDefault="009D25B5" w:rsidP="009D25B5">
            <w:pPr>
              <w:spacing w:after="0"/>
              <w:rPr>
                <w:sz w:val="16"/>
                <w:szCs w:val="16"/>
              </w:rPr>
            </w:pPr>
          </w:p>
        </w:tc>
        <w:tc>
          <w:tcPr>
            <w:tcW w:w="4290" w:type="dxa"/>
            <w:gridSpan w:val="2"/>
          </w:tcPr>
          <w:p w14:paraId="5889E04B" w14:textId="77777777" w:rsidR="009D25B5" w:rsidRPr="009D25B5" w:rsidRDefault="009D25B5" w:rsidP="009D25B5">
            <w:pPr>
              <w:spacing w:after="0"/>
              <w:rPr>
                <w:sz w:val="16"/>
                <w:szCs w:val="16"/>
              </w:rPr>
            </w:pPr>
            <w:r w:rsidRPr="009D25B5">
              <w:rPr>
                <w:sz w:val="16"/>
                <w:szCs w:val="16"/>
              </w:rPr>
              <w:t>Pre topic assessment</w:t>
            </w:r>
          </w:p>
          <w:p w14:paraId="3C6E730A" w14:textId="77777777" w:rsidR="009D25B5" w:rsidRPr="009D25B5" w:rsidRDefault="009D25B5" w:rsidP="009D25B5">
            <w:pPr>
              <w:spacing w:after="0"/>
              <w:rPr>
                <w:sz w:val="16"/>
                <w:szCs w:val="16"/>
              </w:rPr>
            </w:pPr>
          </w:p>
        </w:tc>
        <w:tc>
          <w:tcPr>
            <w:tcW w:w="3753" w:type="dxa"/>
            <w:gridSpan w:val="4"/>
          </w:tcPr>
          <w:p w14:paraId="74401FA5" w14:textId="77777777" w:rsidR="009D25B5" w:rsidRPr="009D25B5" w:rsidRDefault="009D25B5" w:rsidP="009D25B5">
            <w:pPr>
              <w:spacing w:after="0"/>
              <w:rPr>
                <w:sz w:val="16"/>
                <w:szCs w:val="16"/>
              </w:rPr>
            </w:pPr>
          </w:p>
        </w:tc>
      </w:tr>
      <w:tr w:rsidR="009D25B5" w:rsidRPr="009D25B5" w14:paraId="46B85142" w14:textId="77777777" w:rsidTr="009D25B5">
        <w:trPr>
          <w:trHeight w:val="285"/>
        </w:trPr>
        <w:tc>
          <w:tcPr>
            <w:tcW w:w="2547" w:type="dxa"/>
            <w:vMerge/>
          </w:tcPr>
          <w:p w14:paraId="4E67D428" w14:textId="77777777" w:rsidR="009D25B5" w:rsidRPr="009D25B5" w:rsidRDefault="009D25B5" w:rsidP="009D25B5">
            <w:pPr>
              <w:spacing w:after="0"/>
              <w:rPr>
                <w:sz w:val="16"/>
                <w:szCs w:val="16"/>
              </w:rPr>
            </w:pPr>
          </w:p>
        </w:tc>
        <w:tc>
          <w:tcPr>
            <w:tcW w:w="4290" w:type="dxa"/>
            <w:gridSpan w:val="2"/>
          </w:tcPr>
          <w:p w14:paraId="0042D39C" w14:textId="77777777" w:rsidR="009D25B5" w:rsidRPr="009D25B5" w:rsidRDefault="009D25B5" w:rsidP="009D25B5">
            <w:pPr>
              <w:spacing w:after="0"/>
              <w:rPr>
                <w:sz w:val="16"/>
                <w:szCs w:val="16"/>
              </w:rPr>
            </w:pPr>
            <w:r w:rsidRPr="009D25B5">
              <w:rPr>
                <w:sz w:val="16"/>
                <w:szCs w:val="16"/>
              </w:rPr>
              <w:t>Post topic assessment</w:t>
            </w:r>
          </w:p>
        </w:tc>
        <w:tc>
          <w:tcPr>
            <w:tcW w:w="3753" w:type="dxa"/>
            <w:gridSpan w:val="4"/>
          </w:tcPr>
          <w:p w14:paraId="1EBCA951" w14:textId="77777777" w:rsidR="009D25B5" w:rsidRPr="009D25B5" w:rsidRDefault="009D25B5" w:rsidP="009D25B5">
            <w:pPr>
              <w:spacing w:after="0"/>
              <w:rPr>
                <w:sz w:val="16"/>
                <w:szCs w:val="16"/>
              </w:rPr>
            </w:pPr>
          </w:p>
        </w:tc>
      </w:tr>
      <w:tr w:rsidR="009D25B5" w:rsidRPr="009D25B5" w14:paraId="4A4BABF0" w14:textId="77777777" w:rsidTr="009D25B5">
        <w:trPr>
          <w:trHeight w:val="628"/>
        </w:trPr>
        <w:tc>
          <w:tcPr>
            <w:tcW w:w="2547" w:type="dxa"/>
            <w:shd w:val="clear" w:color="auto" w:fill="D9D9D9" w:themeFill="background1" w:themeFillShade="D9"/>
            <w:vAlign w:val="center"/>
          </w:tcPr>
          <w:p w14:paraId="2812281F" w14:textId="77777777" w:rsidR="009D25B5" w:rsidRPr="009D25B5" w:rsidRDefault="009D25B5" w:rsidP="009D25B5">
            <w:pPr>
              <w:spacing w:after="0"/>
              <w:jc w:val="center"/>
              <w:rPr>
                <w:b/>
                <w:sz w:val="16"/>
                <w:szCs w:val="16"/>
              </w:rPr>
            </w:pPr>
            <w:r w:rsidRPr="009D25B5">
              <w:rPr>
                <w:b/>
                <w:sz w:val="16"/>
                <w:szCs w:val="16"/>
              </w:rPr>
              <w:t>Themes</w:t>
            </w:r>
          </w:p>
        </w:tc>
        <w:tc>
          <w:tcPr>
            <w:tcW w:w="5997" w:type="dxa"/>
            <w:gridSpan w:val="3"/>
            <w:shd w:val="clear" w:color="auto" w:fill="D9D9D9" w:themeFill="background1" w:themeFillShade="D9"/>
            <w:vAlign w:val="center"/>
          </w:tcPr>
          <w:p w14:paraId="5B99EA41" w14:textId="77777777" w:rsidR="009D25B5" w:rsidRPr="009D25B5" w:rsidRDefault="009D25B5" w:rsidP="009D25B5">
            <w:pPr>
              <w:spacing w:after="0"/>
              <w:jc w:val="center"/>
              <w:rPr>
                <w:b/>
                <w:sz w:val="16"/>
                <w:szCs w:val="16"/>
              </w:rPr>
            </w:pPr>
            <w:r w:rsidRPr="009D25B5">
              <w:rPr>
                <w:b/>
                <w:sz w:val="16"/>
                <w:szCs w:val="16"/>
              </w:rPr>
              <w:t>Learning Goals/Outcomes/Content</w:t>
            </w:r>
          </w:p>
        </w:tc>
        <w:tc>
          <w:tcPr>
            <w:tcW w:w="726" w:type="dxa"/>
          </w:tcPr>
          <w:p w14:paraId="3ABC93E9" w14:textId="77777777" w:rsidR="009D25B5" w:rsidRPr="009D25B5" w:rsidRDefault="009D25B5" w:rsidP="009D25B5">
            <w:pPr>
              <w:spacing w:after="0"/>
              <w:jc w:val="center"/>
              <w:rPr>
                <w:sz w:val="16"/>
                <w:szCs w:val="16"/>
              </w:rPr>
            </w:pPr>
            <w:r w:rsidRPr="009D25B5">
              <w:rPr>
                <w:sz w:val="16"/>
                <w:szCs w:val="16"/>
              </w:rPr>
              <w:t>R</w:t>
            </w:r>
          </w:p>
        </w:tc>
        <w:tc>
          <w:tcPr>
            <w:tcW w:w="609" w:type="dxa"/>
          </w:tcPr>
          <w:p w14:paraId="6F831261" w14:textId="77777777" w:rsidR="009D25B5" w:rsidRPr="009D25B5" w:rsidRDefault="009D25B5" w:rsidP="009D25B5">
            <w:pPr>
              <w:spacing w:after="0"/>
              <w:jc w:val="center"/>
              <w:rPr>
                <w:sz w:val="16"/>
                <w:szCs w:val="16"/>
              </w:rPr>
            </w:pPr>
            <w:r w:rsidRPr="009D25B5">
              <w:rPr>
                <w:sz w:val="16"/>
                <w:szCs w:val="16"/>
              </w:rPr>
              <w:t>A</w:t>
            </w:r>
          </w:p>
        </w:tc>
        <w:tc>
          <w:tcPr>
            <w:tcW w:w="711" w:type="dxa"/>
          </w:tcPr>
          <w:p w14:paraId="1265110C" w14:textId="77777777" w:rsidR="009D25B5" w:rsidRPr="009D25B5" w:rsidRDefault="009D25B5" w:rsidP="009D25B5">
            <w:pPr>
              <w:spacing w:after="0"/>
              <w:jc w:val="center"/>
              <w:rPr>
                <w:sz w:val="16"/>
                <w:szCs w:val="16"/>
              </w:rPr>
            </w:pPr>
            <w:r w:rsidRPr="009D25B5">
              <w:rPr>
                <w:sz w:val="16"/>
                <w:szCs w:val="16"/>
              </w:rPr>
              <w:t>G</w:t>
            </w:r>
          </w:p>
        </w:tc>
      </w:tr>
      <w:tr w:rsidR="009D25B5" w:rsidRPr="009D25B5" w14:paraId="00F0A877" w14:textId="77777777" w:rsidTr="009D25B5">
        <w:trPr>
          <w:trHeight w:val="210"/>
        </w:trPr>
        <w:tc>
          <w:tcPr>
            <w:tcW w:w="2547" w:type="dxa"/>
          </w:tcPr>
          <w:p w14:paraId="540FE0F7" w14:textId="77777777" w:rsidR="009D25B5" w:rsidRPr="009D25B5" w:rsidRDefault="009D25B5" w:rsidP="009D25B5">
            <w:pPr>
              <w:spacing w:after="0"/>
              <w:rPr>
                <w:sz w:val="16"/>
                <w:szCs w:val="16"/>
              </w:rPr>
            </w:pPr>
            <w:r w:rsidRPr="009D25B5">
              <w:rPr>
                <w:sz w:val="16"/>
                <w:szCs w:val="16"/>
                <w:lang w:val="en-US"/>
              </w:rPr>
              <w:t>Maintaining positive emotional wellbeing throughout life</w:t>
            </w:r>
          </w:p>
          <w:p w14:paraId="00364837" w14:textId="77777777" w:rsidR="009D25B5" w:rsidRPr="009D25B5" w:rsidRDefault="009D25B5" w:rsidP="009D25B5">
            <w:pPr>
              <w:spacing w:after="0"/>
              <w:rPr>
                <w:sz w:val="16"/>
                <w:szCs w:val="16"/>
              </w:rPr>
            </w:pPr>
          </w:p>
        </w:tc>
        <w:tc>
          <w:tcPr>
            <w:tcW w:w="5997" w:type="dxa"/>
            <w:gridSpan w:val="3"/>
          </w:tcPr>
          <w:p w14:paraId="3D7D0959" w14:textId="77777777" w:rsidR="009D25B5" w:rsidRPr="009D25B5" w:rsidRDefault="009D25B5" w:rsidP="009D25B5">
            <w:pPr>
              <w:spacing w:after="0"/>
              <w:rPr>
                <w:sz w:val="16"/>
                <w:szCs w:val="16"/>
              </w:rPr>
            </w:pPr>
            <w:r w:rsidRPr="009D25B5">
              <w:rPr>
                <w:sz w:val="16"/>
                <w:szCs w:val="16"/>
              </w:rPr>
              <w:t>LG1:  Describe how different life events and circumstances can affect our mental health and emotional wellbeing through adolescence and adulthood. Describe strategies to manage these.</w:t>
            </w:r>
          </w:p>
          <w:p w14:paraId="00DC6AFD" w14:textId="77777777" w:rsidR="009D25B5" w:rsidRPr="009D25B5" w:rsidRDefault="009D25B5" w:rsidP="009D25B5">
            <w:pPr>
              <w:spacing w:after="0"/>
              <w:rPr>
                <w:sz w:val="16"/>
                <w:szCs w:val="16"/>
              </w:rPr>
            </w:pPr>
            <w:r w:rsidRPr="009D25B5">
              <w:rPr>
                <w:sz w:val="16"/>
                <w:szCs w:val="16"/>
              </w:rPr>
              <w:t>LG2:  Explain in detail why different life events and circumstances can affect our mental health and emotional wellbeing and explain how different strategies to manage these could work.</w:t>
            </w:r>
          </w:p>
          <w:p w14:paraId="23010AA2" w14:textId="77777777" w:rsidR="009D25B5" w:rsidRPr="009D25B5" w:rsidRDefault="009D25B5" w:rsidP="009D25B5">
            <w:pPr>
              <w:spacing w:after="0"/>
              <w:rPr>
                <w:sz w:val="16"/>
                <w:szCs w:val="16"/>
              </w:rPr>
            </w:pPr>
            <w:r w:rsidRPr="009D25B5">
              <w:rPr>
                <w:sz w:val="16"/>
                <w:szCs w:val="16"/>
              </w:rPr>
              <w:t>LG3: Explain in detail using new key terminology why different life events and circumstances can affect our mental health and emotional wellbeing through adolescence and adulthood and whether there any situations or actions we should avoid and why.</w:t>
            </w:r>
          </w:p>
        </w:tc>
        <w:tc>
          <w:tcPr>
            <w:tcW w:w="726" w:type="dxa"/>
          </w:tcPr>
          <w:p w14:paraId="7A01AE75" w14:textId="77777777" w:rsidR="009D25B5" w:rsidRPr="009D25B5" w:rsidRDefault="009D25B5" w:rsidP="009D25B5">
            <w:pPr>
              <w:spacing w:after="0"/>
              <w:rPr>
                <w:sz w:val="16"/>
                <w:szCs w:val="16"/>
              </w:rPr>
            </w:pPr>
          </w:p>
        </w:tc>
        <w:tc>
          <w:tcPr>
            <w:tcW w:w="609" w:type="dxa"/>
          </w:tcPr>
          <w:p w14:paraId="2D8EC065" w14:textId="77777777" w:rsidR="009D25B5" w:rsidRPr="009D25B5" w:rsidRDefault="009D25B5" w:rsidP="009D25B5">
            <w:pPr>
              <w:spacing w:after="0"/>
              <w:rPr>
                <w:sz w:val="16"/>
                <w:szCs w:val="16"/>
              </w:rPr>
            </w:pPr>
          </w:p>
        </w:tc>
        <w:tc>
          <w:tcPr>
            <w:tcW w:w="711" w:type="dxa"/>
          </w:tcPr>
          <w:p w14:paraId="5877A48D" w14:textId="77777777" w:rsidR="009D25B5" w:rsidRPr="009D25B5" w:rsidRDefault="009D25B5" w:rsidP="009D25B5">
            <w:pPr>
              <w:spacing w:after="0"/>
              <w:rPr>
                <w:sz w:val="16"/>
                <w:szCs w:val="16"/>
              </w:rPr>
            </w:pPr>
          </w:p>
        </w:tc>
      </w:tr>
      <w:tr w:rsidR="009D25B5" w:rsidRPr="009D25B5" w14:paraId="61099541" w14:textId="77777777" w:rsidTr="009D25B5">
        <w:trPr>
          <w:trHeight w:val="225"/>
        </w:trPr>
        <w:tc>
          <w:tcPr>
            <w:tcW w:w="2547" w:type="dxa"/>
          </w:tcPr>
          <w:p w14:paraId="2B7B9EA5" w14:textId="77777777" w:rsidR="009D25B5" w:rsidRPr="009D25B5" w:rsidRDefault="009D25B5" w:rsidP="009D25B5">
            <w:pPr>
              <w:spacing w:after="0"/>
              <w:rPr>
                <w:sz w:val="16"/>
                <w:szCs w:val="16"/>
              </w:rPr>
            </w:pPr>
            <w:r w:rsidRPr="009D25B5">
              <w:rPr>
                <w:sz w:val="16"/>
                <w:szCs w:val="16"/>
              </w:rPr>
              <w:t xml:space="preserve">Positive and toxic masculinity: </w:t>
            </w:r>
          </w:p>
          <w:p w14:paraId="4081E95F" w14:textId="77777777" w:rsidR="009D25B5" w:rsidRPr="009D25B5" w:rsidRDefault="009D25B5" w:rsidP="009D25B5">
            <w:pPr>
              <w:spacing w:after="0"/>
              <w:rPr>
                <w:sz w:val="16"/>
                <w:szCs w:val="16"/>
              </w:rPr>
            </w:pPr>
            <w:r w:rsidRPr="009D25B5">
              <w:rPr>
                <w:sz w:val="16"/>
                <w:szCs w:val="16"/>
              </w:rPr>
              <w:t>What does it mean to be a good man?</w:t>
            </w:r>
          </w:p>
          <w:p w14:paraId="52E2C727" w14:textId="77777777" w:rsidR="009D25B5" w:rsidRPr="009D25B5" w:rsidRDefault="009D25B5" w:rsidP="009D25B5">
            <w:pPr>
              <w:spacing w:after="0"/>
              <w:rPr>
                <w:sz w:val="16"/>
                <w:szCs w:val="16"/>
              </w:rPr>
            </w:pPr>
          </w:p>
        </w:tc>
        <w:tc>
          <w:tcPr>
            <w:tcW w:w="5997" w:type="dxa"/>
            <w:gridSpan w:val="3"/>
          </w:tcPr>
          <w:p w14:paraId="60FEF909" w14:textId="77777777" w:rsidR="009D25B5" w:rsidRPr="009D25B5" w:rsidRDefault="009D25B5" w:rsidP="009D25B5">
            <w:pPr>
              <w:spacing w:after="0"/>
              <w:rPr>
                <w:sz w:val="16"/>
                <w:szCs w:val="16"/>
              </w:rPr>
            </w:pPr>
            <w:r w:rsidRPr="009D25B5">
              <w:rPr>
                <w:sz w:val="16"/>
                <w:szCs w:val="16"/>
              </w:rPr>
              <w:t>LG1:  Correctly identify the different interpretations of the term masculinity and how toxic masculinity can negatively affect males as well as others around them.</w:t>
            </w:r>
          </w:p>
          <w:p w14:paraId="30A4AE41" w14:textId="77777777" w:rsidR="009D25B5" w:rsidRPr="009D25B5" w:rsidRDefault="009D25B5" w:rsidP="009D25B5">
            <w:pPr>
              <w:spacing w:after="0"/>
              <w:rPr>
                <w:sz w:val="16"/>
                <w:szCs w:val="16"/>
              </w:rPr>
            </w:pPr>
            <w:r w:rsidRPr="009D25B5">
              <w:rPr>
                <w:sz w:val="16"/>
                <w:szCs w:val="16"/>
              </w:rPr>
              <w:t>LG2: Describe in detail the qualities of both positive and toxic masculinity and how toxic masculinity can negatively affect males and others around them.</w:t>
            </w:r>
          </w:p>
          <w:p w14:paraId="38BDC13D" w14:textId="77777777" w:rsidR="009D25B5" w:rsidRPr="009D25B5" w:rsidRDefault="009D25B5" w:rsidP="009D25B5">
            <w:pPr>
              <w:spacing w:after="0"/>
              <w:rPr>
                <w:sz w:val="16"/>
                <w:szCs w:val="16"/>
              </w:rPr>
            </w:pPr>
            <w:r w:rsidRPr="009D25B5">
              <w:rPr>
                <w:sz w:val="16"/>
                <w:szCs w:val="16"/>
              </w:rPr>
              <w:t>LG3: Explain how wider society forms our views of what are masculine and feminine.  Explain how toxic masculinity can damage the emotional range and mental health of males.</w:t>
            </w:r>
          </w:p>
        </w:tc>
        <w:tc>
          <w:tcPr>
            <w:tcW w:w="726" w:type="dxa"/>
          </w:tcPr>
          <w:p w14:paraId="62AB21E4" w14:textId="77777777" w:rsidR="009D25B5" w:rsidRPr="009D25B5" w:rsidRDefault="009D25B5" w:rsidP="009D25B5">
            <w:pPr>
              <w:spacing w:after="0"/>
              <w:rPr>
                <w:sz w:val="16"/>
                <w:szCs w:val="16"/>
              </w:rPr>
            </w:pPr>
          </w:p>
        </w:tc>
        <w:tc>
          <w:tcPr>
            <w:tcW w:w="609" w:type="dxa"/>
          </w:tcPr>
          <w:p w14:paraId="5A4014C6" w14:textId="77777777" w:rsidR="009D25B5" w:rsidRPr="009D25B5" w:rsidRDefault="009D25B5" w:rsidP="009D25B5">
            <w:pPr>
              <w:spacing w:after="0"/>
              <w:rPr>
                <w:sz w:val="16"/>
                <w:szCs w:val="16"/>
              </w:rPr>
            </w:pPr>
          </w:p>
        </w:tc>
        <w:tc>
          <w:tcPr>
            <w:tcW w:w="711" w:type="dxa"/>
          </w:tcPr>
          <w:p w14:paraId="6769CDD0" w14:textId="77777777" w:rsidR="009D25B5" w:rsidRPr="009D25B5" w:rsidRDefault="009D25B5" w:rsidP="009D25B5">
            <w:pPr>
              <w:spacing w:after="0"/>
              <w:rPr>
                <w:sz w:val="16"/>
                <w:szCs w:val="16"/>
              </w:rPr>
            </w:pPr>
          </w:p>
        </w:tc>
      </w:tr>
      <w:tr w:rsidR="009D25B5" w:rsidRPr="009D25B5" w14:paraId="72E6A5BF" w14:textId="77777777" w:rsidTr="009D25B5">
        <w:trPr>
          <w:trHeight w:val="225"/>
        </w:trPr>
        <w:tc>
          <w:tcPr>
            <w:tcW w:w="2547" w:type="dxa"/>
          </w:tcPr>
          <w:p w14:paraId="47AFBFA5" w14:textId="77777777" w:rsidR="009D25B5" w:rsidRPr="009D25B5" w:rsidRDefault="009D25B5" w:rsidP="009D25B5">
            <w:pPr>
              <w:spacing w:after="0"/>
              <w:rPr>
                <w:sz w:val="16"/>
                <w:szCs w:val="16"/>
              </w:rPr>
            </w:pPr>
            <w:r w:rsidRPr="009D25B5">
              <w:rPr>
                <w:sz w:val="16"/>
                <w:szCs w:val="16"/>
              </w:rPr>
              <w:t>How can we relax and de-stress in a healthy way?</w:t>
            </w:r>
          </w:p>
          <w:p w14:paraId="3C57FF66" w14:textId="77777777" w:rsidR="009D25B5" w:rsidRPr="009D25B5" w:rsidRDefault="009D25B5" w:rsidP="009D25B5">
            <w:pPr>
              <w:spacing w:after="0"/>
              <w:rPr>
                <w:sz w:val="16"/>
                <w:szCs w:val="16"/>
              </w:rPr>
            </w:pPr>
          </w:p>
        </w:tc>
        <w:tc>
          <w:tcPr>
            <w:tcW w:w="5997" w:type="dxa"/>
            <w:gridSpan w:val="3"/>
          </w:tcPr>
          <w:p w14:paraId="16EDB975" w14:textId="77777777" w:rsidR="009D25B5" w:rsidRPr="009D25B5" w:rsidRDefault="009D25B5" w:rsidP="009D25B5">
            <w:pPr>
              <w:spacing w:after="0"/>
              <w:rPr>
                <w:sz w:val="16"/>
                <w:szCs w:val="16"/>
              </w:rPr>
            </w:pPr>
            <w:r w:rsidRPr="009D25B5">
              <w:rPr>
                <w:sz w:val="16"/>
                <w:szCs w:val="16"/>
              </w:rPr>
              <w:t>LG1:  Identify why many students struggle with relaxation and identify some healthy ways we can relax and de-stress.</w:t>
            </w:r>
          </w:p>
          <w:p w14:paraId="38F08955" w14:textId="77777777" w:rsidR="009D25B5" w:rsidRPr="009D25B5" w:rsidRDefault="009D25B5" w:rsidP="009D25B5">
            <w:pPr>
              <w:spacing w:after="0"/>
              <w:rPr>
                <w:sz w:val="16"/>
                <w:szCs w:val="16"/>
              </w:rPr>
            </w:pPr>
            <w:r w:rsidRPr="009D25B5">
              <w:rPr>
                <w:sz w:val="16"/>
                <w:szCs w:val="16"/>
              </w:rPr>
              <w:t xml:space="preserve"> LG2:  Describe in detail numerous ways we can relax and destress in a healthy way. Describe how some activities prohibit relaxation.</w:t>
            </w:r>
          </w:p>
          <w:p w14:paraId="7ED154D2" w14:textId="77777777" w:rsidR="009D25B5" w:rsidRPr="009D25B5" w:rsidRDefault="009D25B5" w:rsidP="009D25B5">
            <w:pPr>
              <w:spacing w:after="0"/>
              <w:rPr>
                <w:sz w:val="16"/>
                <w:szCs w:val="16"/>
              </w:rPr>
            </w:pPr>
            <w:r w:rsidRPr="009D25B5">
              <w:rPr>
                <w:sz w:val="16"/>
                <w:szCs w:val="16"/>
              </w:rPr>
              <w:t>LG3: Explain exactly how these healthy methods help our bodies and minds relax and how particular activities work to prohibit this.</w:t>
            </w:r>
          </w:p>
        </w:tc>
        <w:tc>
          <w:tcPr>
            <w:tcW w:w="726" w:type="dxa"/>
          </w:tcPr>
          <w:p w14:paraId="3FAFFF6A" w14:textId="77777777" w:rsidR="009D25B5" w:rsidRPr="009D25B5" w:rsidRDefault="009D25B5" w:rsidP="009D25B5">
            <w:pPr>
              <w:spacing w:after="0"/>
              <w:rPr>
                <w:sz w:val="16"/>
                <w:szCs w:val="16"/>
              </w:rPr>
            </w:pPr>
          </w:p>
        </w:tc>
        <w:tc>
          <w:tcPr>
            <w:tcW w:w="609" w:type="dxa"/>
          </w:tcPr>
          <w:p w14:paraId="5DE65A8D" w14:textId="77777777" w:rsidR="009D25B5" w:rsidRPr="009D25B5" w:rsidRDefault="009D25B5" w:rsidP="009D25B5">
            <w:pPr>
              <w:spacing w:after="0"/>
              <w:rPr>
                <w:sz w:val="16"/>
                <w:szCs w:val="16"/>
              </w:rPr>
            </w:pPr>
          </w:p>
        </w:tc>
        <w:tc>
          <w:tcPr>
            <w:tcW w:w="711" w:type="dxa"/>
          </w:tcPr>
          <w:p w14:paraId="692CB347" w14:textId="77777777" w:rsidR="009D25B5" w:rsidRPr="009D25B5" w:rsidRDefault="009D25B5" w:rsidP="009D25B5">
            <w:pPr>
              <w:spacing w:after="0"/>
              <w:rPr>
                <w:sz w:val="16"/>
                <w:szCs w:val="16"/>
              </w:rPr>
            </w:pPr>
          </w:p>
        </w:tc>
      </w:tr>
    </w:tbl>
    <w:p w14:paraId="4F1B1529" w14:textId="77777777" w:rsidR="009D25B5" w:rsidRPr="009D25B5" w:rsidRDefault="009D25B5" w:rsidP="009D25B5">
      <w:pPr>
        <w:spacing w:after="0"/>
        <w:rPr>
          <w:sz w:val="16"/>
          <w:szCs w:val="16"/>
        </w:rPr>
      </w:pPr>
    </w:p>
    <w:p w14:paraId="3EB97BBB" w14:textId="77777777" w:rsidR="00BD6440" w:rsidRPr="009D25B5" w:rsidRDefault="00BD6440" w:rsidP="00BD6440">
      <w:pPr>
        <w:spacing w:after="0"/>
        <w:rPr>
          <w:sz w:val="16"/>
          <w:szCs w:val="16"/>
        </w:rPr>
      </w:pPr>
    </w:p>
    <w:sectPr w:rsidR="00BD6440" w:rsidRPr="009D25B5"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C3968"/>
    <w:rsid w:val="001E6A96"/>
    <w:rsid w:val="001E7AF2"/>
    <w:rsid w:val="002331B9"/>
    <w:rsid w:val="00274AAC"/>
    <w:rsid w:val="002A28AD"/>
    <w:rsid w:val="002F259E"/>
    <w:rsid w:val="0033675A"/>
    <w:rsid w:val="00341BBA"/>
    <w:rsid w:val="003459B1"/>
    <w:rsid w:val="003B3F69"/>
    <w:rsid w:val="003C6DFD"/>
    <w:rsid w:val="00470D54"/>
    <w:rsid w:val="00471B37"/>
    <w:rsid w:val="004C50D5"/>
    <w:rsid w:val="004D42C0"/>
    <w:rsid w:val="004D4AD1"/>
    <w:rsid w:val="00500F22"/>
    <w:rsid w:val="00523203"/>
    <w:rsid w:val="00584245"/>
    <w:rsid w:val="00642A9E"/>
    <w:rsid w:val="00703757"/>
    <w:rsid w:val="00761238"/>
    <w:rsid w:val="0079299F"/>
    <w:rsid w:val="007955C7"/>
    <w:rsid w:val="007D0FDE"/>
    <w:rsid w:val="007D4110"/>
    <w:rsid w:val="007F5001"/>
    <w:rsid w:val="00827835"/>
    <w:rsid w:val="00831538"/>
    <w:rsid w:val="00831F97"/>
    <w:rsid w:val="008A1A2A"/>
    <w:rsid w:val="008B5004"/>
    <w:rsid w:val="008D491A"/>
    <w:rsid w:val="008E416C"/>
    <w:rsid w:val="00971232"/>
    <w:rsid w:val="009D25B5"/>
    <w:rsid w:val="009D7C2F"/>
    <w:rsid w:val="009F6D57"/>
    <w:rsid w:val="00A4322C"/>
    <w:rsid w:val="00A962AA"/>
    <w:rsid w:val="00AA2260"/>
    <w:rsid w:val="00AE0ABA"/>
    <w:rsid w:val="00B23497"/>
    <w:rsid w:val="00B24E5E"/>
    <w:rsid w:val="00B85982"/>
    <w:rsid w:val="00BC1C13"/>
    <w:rsid w:val="00BD6440"/>
    <w:rsid w:val="00C010E9"/>
    <w:rsid w:val="00C46DA0"/>
    <w:rsid w:val="00C7069B"/>
    <w:rsid w:val="00CE49C5"/>
    <w:rsid w:val="00CF284B"/>
    <w:rsid w:val="00D137E1"/>
    <w:rsid w:val="00DF21BB"/>
    <w:rsid w:val="00E048FE"/>
    <w:rsid w:val="00E27C22"/>
    <w:rsid w:val="00E50992"/>
    <w:rsid w:val="00E54214"/>
    <w:rsid w:val="00E85B48"/>
    <w:rsid w:val="00E904C9"/>
    <w:rsid w:val="00F00718"/>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41677485-4880-4E57-A973-A14C44F6FD51}"/>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7</cp:revision>
  <dcterms:created xsi:type="dcterms:W3CDTF">2022-07-12T19:32:00Z</dcterms:created>
  <dcterms:modified xsi:type="dcterms:W3CDTF">2022-07-12T19:38:00Z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