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4290"/>
        <w:gridCol w:w="1707"/>
        <w:gridCol w:w="726"/>
        <w:gridCol w:w="609"/>
        <w:gridCol w:w="711"/>
      </w:tblGrid>
      <w:tr w:rsidR="000F0257" w14:paraId="3F929C82" w14:textId="03B0101A" w:rsidTr="2F576A74">
        <w:trPr>
          <w:trHeight w:val="360"/>
        </w:trPr>
        <w:tc>
          <w:tcPr>
            <w:tcW w:w="2547" w:type="dxa"/>
            <w:vAlign w:val="center"/>
          </w:tcPr>
          <w:p w14:paraId="28B4EA70" w14:textId="6EC881A8" w:rsidR="00E85B48" w:rsidRPr="00F15695" w:rsidRDefault="12ED8755" w:rsidP="2F576A74">
            <w:pPr>
              <w:rPr>
                <w:b/>
                <w:bCs/>
              </w:rPr>
            </w:pPr>
            <w:r w:rsidRPr="2F576A74">
              <w:rPr>
                <w:b/>
                <w:bCs/>
              </w:rPr>
              <w:t xml:space="preserve">A-Level </w:t>
            </w:r>
            <w:r w:rsidR="00EB0FE6" w:rsidRPr="2F576A74">
              <w:rPr>
                <w:b/>
                <w:bCs/>
              </w:rPr>
              <w:t xml:space="preserve">– </w:t>
            </w:r>
            <w:r w:rsidR="007E7DB7">
              <w:rPr>
                <w:b/>
                <w:bCs/>
              </w:rPr>
              <w:t>Carbon Cycle and Energy Security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14666195" w14:textId="09DAAD54" w:rsidR="00E85B48" w:rsidRPr="00E904C9" w:rsidRDefault="00A4322C" w:rsidP="2F576A74">
            <w:pPr>
              <w:jc w:val="center"/>
              <w:rPr>
                <w:b/>
                <w:bCs/>
                <w:color w:val="FFFFFF" w:themeColor="background1"/>
              </w:rPr>
            </w:pPr>
            <w:r w:rsidRPr="2F576A74">
              <w:rPr>
                <w:b/>
                <w:bCs/>
                <w:color w:val="FFFFFF" w:themeColor="background1"/>
                <w:sz w:val="28"/>
                <w:szCs w:val="28"/>
              </w:rPr>
              <w:t>Unit Navigator</w:t>
            </w:r>
            <w:r w:rsidR="00EB0FE6" w:rsidRPr="2F576A74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486EF7" w:rsidRPr="2F576A74">
              <w:rPr>
                <w:b/>
                <w:bCs/>
                <w:color w:val="FFFFFF" w:themeColor="background1"/>
                <w:sz w:val="28"/>
                <w:szCs w:val="28"/>
              </w:rPr>
              <w:t>–</w:t>
            </w:r>
            <w:r w:rsidR="007E7DB7">
              <w:rPr>
                <w:b/>
                <w:bCs/>
                <w:color w:val="FFFFFF" w:themeColor="background1"/>
                <w:sz w:val="28"/>
                <w:szCs w:val="28"/>
              </w:rPr>
              <w:t>Carbon Cycle and Energy Security</w:t>
            </w:r>
          </w:p>
        </w:tc>
      </w:tr>
      <w:tr w:rsidR="00C04D51" w14:paraId="06C61167" w14:textId="32188040" w:rsidTr="2F576A74">
        <w:trPr>
          <w:trHeight w:val="3632"/>
        </w:trPr>
        <w:tc>
          <w:tcPr>
            <w:tcW w:w="2547" w:type="dxa"/>
            <w:vMerge w:val="restart"/>
          </w:tcPr>
          <w:p w14:paraId="617B45AD" w14:textId="77777777" w:rsidR="00C04D51" w:rsidRPr="00D372C4" w:rsidRDefault="00C04D51" w:rsidP="001F64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LG1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>Demonstrate knowledge of locations, places, processes, environments and different scales.</w:t>
            </w:r>
          </w:p>
          <w:p w14:paraId="512CE8B2" w14:textId="6F6CA967" w:rsidR="00C04D51" w:rsidRPr="00D372C4" w:rsidRDefault="00C04D51" w:rsidP="001F64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LG2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 xml:space="preserve">Demonstrate geographical understanding of concepts and how they are used in relation to places, </w:t>
            </w:r>
            <w:proofErr w:type="gramStart"/>
            <w:r w:rsidRPr="00D372C4">
              <w:rPr>
                <w:rFonts w:cstheme="minorHAnsi"/>
                <w:sz w:val="16"/>
                <w:szCs w:val="16"/>
              </w:rPr>
              <w:t>environments</w:t>
            </w:r>
            <w:proofErr w:type="gramEnd"/>
            <w:r w:rsidRPr="00D372C4">
              <w:rPr>
                <w:rFonts w:cstheme="minorHAnsi"/>
                <w:sz w:val="16"/>
                <w:szCs w:val="16"/>
              </w:rPr>
              <w:t xml:space="preserve"> and processes. The inter-relationships between places, environments and processes.</w:t>
            </w:r>
          </w:p>
          <w:p w14:paraId="49C0DC09" w14:textId="59A9308A" w:rsidR="00C04D51" w:rsidRPr="00B572A8" w:rsidRDefault="00C04D51" w:rsidP="00B572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LG3:</w:t>
            </w:r>
            <w:r w:rsidRPr="00D372C4">
              <w:rPr>
                <w:sz w:val="16"/>
                <w:szCs w:val="16"/>
              </w:rPr>
              <w:t xml:space="preserve"> </w:t>
            </w:r>
            <w:r w:rsidRPr="00D372C4">
              <w:rPr>
                <w:rFonts w:cstheme="minorHAnsi"/>
                <w:sz w:val="16"/>
                <w:szCs w:val="16"/>
              </w:rPr>
              <w:t>Apply knowledge and understanding to interpret, analyse and evaluate geographical information and issues and to make judgements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D372C4">
              <w:rPr>
                <w:rFonts w:cstheme="minorHAnsi"/>
                <w:sz w:val="16"/>
                <w:szCs w:val="16"/>
              </w:rPr>
              <w:t xml:space="preserve"> Select, adapt and use a variety of skills and techniques to investigate questions and issues and communicate findings.</w:t>
            </w:r>
          </w:p>
        </w:tc>
        <w:tc>
          <w:tcPr>
            <w:tcW w:w="4290" w:type="dxa"/>
          </w:tcPr>
          <w:p w14:paraId="5A99224F" w14:textId="07EACF25" w:rsidR="00C04D51" w:rsidRPr="00D372C4" w:rsidRDefault="00C04D51" w:rsidP="00B24E5E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Assessment Grades</w:t>
            </w:r>
          </w:p>
        </w:tc>
        <w:tc>
          <w:tcPr>
            <w:tcW w:w="3753" w:type="dxa"/>
            <w:gridSpan w:val="4"/>
          </w:tcPr>
          <w:p w14:paraId="70FCE77F" w14:textId="3FC3BC13" w:rsidR="00C04D51" w:rsidRPr="00D372C4" w:rsidRDefault="00C04D51" w:rsidP="00B24E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terms:</w:t>
            </w:r>
          </w:p>
        </w:tc>
      </w:tr>
      <w:tr w:rsidR="000B079A" w14:paraId="7C997B50" w14:textId="3642D52D" w:rsidTr="2F576A74">
        <w:trPr>
          <w:trHeight w:val="70"/>
        </w:trPr>
        <w:tc>
          <w:tcPr>
            <w:tcW w:w="2547" w:type="dxa"/>
            <w:vMerge/>
          </w:tcPr>
          <w:p w14:paraId="02EE26FE" w14:textId="77777777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14:paraId="055A847E" w14:textId="77777777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</w:tr>
      <w:tr w:rsidR="000B079A" w14:paraId="6AAEE81C" w14:textId="77777777" w:rsidTr="2F576A74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548337E1" w:rsidR="00CE49C5" w:rsidRPr="00D372C4" w:rsidRDefault="00E12BF6" w:rsidP="00E904C9">
            <w:pPr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Theme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D372C4" w:rsidRDefault="00831F97" w:rsidP="00E904C9">
            <w:pPr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Learning Goals/Outcomes</w:t>
            </w:r>
            <w:r w:rsidR="000A4ADB" w:rsidRPr="00D372C4">
              <w:rPr>
                <w:b/>
                <w:sz w:val="16"/>
                <w:szCs w:val="16"/>
              </w:rPr>
              <w:t>/</w:t>
            </w:r>
            <w:r w:rsidR="00584245" w:rsidRPr="00D372C4">
              <w:rPr>
                <w:b/>
                <w:sz w:val="16"/>
                <w:szCs w:val="16"/>
              </w:rPr>
              <w:t>Content</w:t>
            </w:r>
          </w:p>
        </w:tc>
        <w:tc>
          <w:tcPr>
            <w:tcW w:w="726" w:type="dxa"/>
          </w:tcPr>
          <w:p w14:paraId="4E0D1487" w14:textId="15E62E93" w:rsidR="00CE49C5" w:rsidRDefault="00CE49C5" w:rsidP="00B24E5E"/>
        </w:tc>
        <w:tc>
          <w:tcPr>
            <w:tcW w:w="609" w:type="dxa"/>
          </w:tcPr>
          <w:p w14:paraId="66D96C36" w14:textId="3A9579F2" w:rsidR="00CE49C5" w:rsidRDefault="00694A54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2788332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1FC908" id="Group 8" o:spid="_x0000_s1026" style="position:absolute;margin-left:-36.4pt;margin-top:5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2F576A74">
        <w:trPr>
          <w:trHeight w:val="210"/>
        </w:trPr>
        <w:tc>
          <w:tcPr>
            <w:tcW w:w="2547" w:type="dxa"/>
          </w:tcPr>
          <w:p w14:paraId="59E8F3DE" w14:textId="5710D09E" w:rsidR="00CE49C5" w:rsidRPr="00632941" w:rsidRDefault="007E7DB7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cyan"/>
              </w:rPr>
            </w:pPr>
            <w:r w:rsidRPr="00632941">
              <w:rPr>
                <w:b/>
                <w:bCs/>
                <w:sz w:val="18"/>
                <w:szCs w:val="18"/>
                <w:highlight w:val="cyan"/>
              </w:rPr>
              <w:t>L1 – The Carbon Cycle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6211553F" w14:textId="714250EB" w:rsidR="00682D38" w:rsidRPr="00632941" w:rsidRDefault="00DA4273" w:rsidP="2F576A74">
            <w:pPr>
              <w:spacing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  <w:highlight w:val="cyan"/>
              </w:rPr>
            </w:pPr>
            <w:r w:rsidRPr="0063294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cyan"/>
              </w:rPr>
              <w:t>L</w:t>
            </w:r>
            <w:r w:rsidRPr="00632941">
              <w:rPr>
                <w:b/>
                <w:bCs/>
                <w:sz w:val="18"/>
                <w:szCs w:val="18"/>
                <w:highlight w:val="cyan"/>
              </w:rPr>
              <w:t>G1/2:</w:t>
            </w:r>
            <w:r w:rsidRPr="00632941">
              <w:rPr>
                <w:sz w:val="18"/>
                <w:szCs w:val="18"/>
                <w:highlight w:val="cyan"/>
              </w:rPr>
              <w:t xml:space="preserve"> </w:t>
            </w:r>
            <w:r w:rsidRPr="00632941">
              <w:rPr>
                <w:rFonts w:ascii="Calibri" w:hAnsi="Calibri" w:cs="Calibri"/>
                <w:color w:val="000000" w:themeColor="text1"/>
                <w:sz w:val="18"/>
                <w:szCs w:val="18"/>
                <w:highlight w:val="cyan"/>
              </w:rPr>
              <w:t>To understand the important cycles, stores and fluxes that make up the global carbon cycle.</w:t>
            </w:r>
          </w:p>
        </w:tc>
        <w:tc>
          <w:tcPr>
            <w:tcW w:w="726" w:type="dxa"/>
          </w:tcPr>
          <w:p w14:paraId="000DA362" w14:textId="3DC6C58D" w:rsidR="00E50992" w:rsidRPr="00632941" w:rsidRDefault="00E50992" w:rsidP="005E4A16">
            <w:pPr>
              <w:spacing w:after="0"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609" w:type="dxa"/>
          </w:tcPr>
          <w:p w14:paraId="1E5DF3EC" w14:textId="032C2859" w:rsidR="00E50992" w:rsidRPr="00632941" w:rsidRDefault="00E50992" w:rsidP="005E4A16">
            <w:pPr>
              <w:spacing w:after="0"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711" w:type="dxa"/>
          </w:tcPr>
          <w:p w14:paraId="5A927ACE" w14:textId="30C6C78F" w:rsidR="00E50992" w:rsidRPr="00632941" w:rsidRDefault="00E50992" w:rsidP="00B24E5E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</w:tr>
      <w:tr w:rsidR="00BF450F" w:rsidRPr="00BF450F" w14:paraId="68929185" w14:textId="77777777" w:rsidTr="2F576A74">
        <w:trPr>
          <w:trHeight w:val="210"/>
        </w:trPr>
        <w:tc>
          <w:tcPr>
            <w:tcW w:w="2547" w:type="dxa"/>
          </w:tcPr>
          <w:p w14:paraId="51A5B108" w14:textId="3FB9EC33" w:rsidR="00BF450F" w:rsidRPr="00632941" w:rsidRDefault="007E7DB7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cyan"/>
              </w:rPr>
            </w:pPr>
            <w:r w:rsidRPr="00632941">
              <w:rPr>
                <w:b/>
                <w:bCs/>
                <w:sz w:val="18"/>
                <w:szCs w:val="18"/>
                <w:highlight w:val="cyan"/>
              </w:rPr>
              <w:t>L2</w:t>
            </w:r>
            <w:r w:rsidR="00D66134" w:rsidRPr="00632941">
              <w:rPr>
                <w:b/>
                <w:bCs/>
                <w:sz w:val="18"/>
                <w:szCs w:val="18"/>
                <w:highlight w:val="cyan"/>
              </w:rPr>
              <w:t xml:space="preserve"> – Carbon Fluxes</w:t>
            </w:r>
          </w:p>
        </w:tc>
        <w:tc>
          <w:tcPr>
            <w:tcW w:w="5997" w:type="dxa"/>
            <w:gridSpan w:val="2"/>
          </w:tcPr>
          <w:p w14:paraId="5C855FD0" w14:textId="7C804951" w:rsidR="00682D38" w:rsidRPr="00632941" w:rsidRDefault="00125747" w:rsidP="2F576A74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  <w:highlight w:val="cyan"/>
              </w:rPr>
            </w:pPr>
            <w:r w:rsidRPr="00632941">
              <w:rPr>
                <w:rStyle w:val="normaltextrun"/>
                <w:rFonts w:ascii="Calibri" w:hAnsi="Calibri" w:cs="Calibri"/>
                <w:b/>
                <w:bCs/>
                <w:color w:val="000000"/>
                <w:position w:val="4"/>
                <w:sz w:val="18"/>
                <w:szCs w:val="18"/>
                <w:highlight w:val="cyan"/>
                <w:shd w:val="clear" w:color="auto" w:fill="EDEBE9"/>
              </w:rPr>
              <w:t>LG1/2:</w:t>
            </w:r>
            <w:r w:rsidRPr="00632941">
              <w:rPr>
                <w:rStyle w:val="normaltextrun"/>
                <w:rFonts w:ascii="Calibri" w:hAnsi="Calibri" w:cs="Calibri"/>
                <w:b/>
                <w:bCs/>
                <w:color w:val="000000"/>
                <w:position w:val="4"/>
                <w:sz w:val="18"/>
                <w:szCs w:val="18"/>
                <w:highlight w:val="cyan"/>
                <w:u w:val="single"/>
                <w:shd w:val="clear" w:color="auto" w:fill="EDEBE9"/>
              </w:rPr>
              <w:t> </w:t>
            </w:r>
            <w:r w:rsidRPr="00632941">
              <w:rPr>
                <w:rStyle w:val="normaltextrun"/>
                <w:rFonts w:ascii="Calibri" w:hAnsi="Calibri" w:cs="Calibri"/>
                <w:color w:val="000000"/>
                <w:position w:val="4"/>
                <w:sz w:val="18"/>
                <w:szCs w:val="18"/>
                <w:highlight w:val="cyan"/>
                <w:shd w:val="clear" w:color="auto" w:fill="EDEBE9"/>
              </w:rPr>
              <w:t>To understand the fluxes of carbon between different stores and the processes that are involved</w:t>
            </w:r>
          </w:p>
        </w:tc>
        <w:tc>
          <w:tcPr>
            <w:tcW w:w="726" w:type="dxa"/>
          </w:tcPr>
          <w:p w14:paraId="03B99B96" w14:textId="77777777" w:rsidR="00BF450F" w:rsidRPr="00632941" w:rsidRDefault="00BF450F" w:rsidP="005E4A16">
            <w:pPr>
              <w:spacing w:after="0"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609" w:type="dxa"/>
          </w:tcPr>
          <w:p w14:paraId="029287FD" w14:textId="77777777" w:rsidR="00BF450F" w:rsidRPr="00632941" w:rsidRDefault="00BF450F" w:rsidP="005E4A16">
            <w:pPr>
              <w:spacing w:after="0"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711" w:type="dxa"/>
          </w:tcPr>
          <w:p w14:paraId="4A7794C1" w14:textId="77777777" w:rsidR="00BF450F" w:rsidRPr="00632941" w:rsidRDefault="00BF450F" w:rsidP="00BF450F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</w:tr>
      <w:tr w:rsidR="00BF450F" w14:paraId="6905CFC4" w14:textId="77777777" w:rsidTr="2F576A74">
        <w:trPr>
          <w:trHeight w:val="225"/>
        </w:trPr>
        <w:tc>
          <w:tcPr>
            <w:tcW w:w="2547" w:type="dxa"/>
          </w:tcPr>
          <w:p w14:paraId="498DDBB4" w14:textId="6D6C8C4E" w:rsidR="00BF450F" w:rsidRPr="00632941" w:rsidRDefault="00D66134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cyan"/>
              </w:rPr>
            </w:pPr>
            <w:r w:rsidRPr="00632941">
              <w:rPr>
                <w:b/>
                <w:bCs/>
                <w:sz w:val="18"/>
                <w:szCs w:val="18"/>
                <w:highlight w:val="cyan"/>
              </w:rPr>
              <w:t>L3 – Carbon Sequestration and Human Influences</w:t>
            </w:r>
          </w:p>
        </w:tc>
        <w:tc>
          <w:tcPr>
            <w:tcW w:w="5997" w:type="dxa"/>
            <w:gridSpan w:val="2"/>
          </w:tcPr>
          <w:p w14:paraId="41477595" w14:textId="09A779CA" w:rsidR="00682D38" w:rsidRPr="00632941" w:rsidRDefault="00167E7B" w:rsidP="2F576A74">
            <w:pPr>
              <w:spacing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  <w:highlight w:val="cyan"/>
              </w:rPr>
            </w:pPr>
            <w:r w:rsidRPr="00632941">
              <w:rPr>
                <w:rStyle w:val="normaltextrun"/>
                <w:rFonts w:ascii="Calibri" w:hAnsi="Calibri" w:cs="Calibri"/>
                <w:b/>
                <w:bCs/>
                <w:color w:val="000000"/>
                <w:position w:val="3"/>
                <w:sz w:val="18"/>
                <w:szCs w:val="18"/>
                <w:highlight w:val="cyan"/>
                <w:shd w:val="clear" w:color="auto" w:fill="EDEBE9"/>
              </w:rPr>
              <w:t>LG1/2:</w:t>
            </w:r>
            <w:r w:rsidRPr="00632941">
              <w:rPr>
                <w:rStyle w:val="normaltextrun"/>
                <w:rFonts w:ascii="Calibri" w:hAnsi="Calibri" w:cs="Calibri"/>
                <w:color w:val="000000"/>
                <w:position w:val="3"/>
                <w:sz w:val="18"/>
                <w:szCs w:val="18"/>
                <w:highlight w:val="cyan"/>
                <w:shd w:val="clear" w:color="auto" w:fill="EDEBE9"/>
              </w:rPr>
              <w:t> To understand carbon Sequestration and understand the impact that Human activity is having on the Carbon Cycle.</w:t>
            </w:r>
          </w:p>
        </w:tc>
        <w:tc>
          <w:tcPr>
            <w:tcW w:w="726" w:type="dxa"/>
          </w:tcPr>
          <w:p w14:paraId="6232629A" w14:textId="0FC0279D" w:rsidR="00BF450F" w:rsidRPr="00632941" w:rsidRDefault="00BF450F" w:rsidP="005E4A16">
            <w:pPr>
              <w:spacing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609" w:type="dxa"/>
          </w:tcPr>
          <w:p w14:paraId="41FDA276" w14:textId="2F5D9242" w:rsidR="00BF450F" w:rsidRPr="00632941" w:rsidRDefault="00BF450F" w:rsidP="005E4A16">
            <w:pPr>
              <w:spacing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711" w:type="dxa"/>
          </w:tcPr>
          <w:p w14:paraId="3A4E4DA7" w14:textId="33343823" w:rsidR="00BF450F" w:rsidRPr="00632941" w:rsidRDefault="00BF450F" w:rsidP="00BF450F">
            <w:pPr>
              <w:rPr>
                <w:sz w:val="18"/>
                <w:szCs w:val="18"/>
                <w:highlight w:val="cyan"/>
              </w:rPr>
            </w:pPr>
          </w:p>
        </w:tc>
      </w:tr>
      <w:tr w:rsidR="00BF450F" w14:paraId="0FBDD03C" w14:textId="77777777" w:rsidTr="2F576A74">
        <w:trPr>
          <w:trHeight w:val="225"/>
        </w:trPr>
        <w:tc>
          <w:tcPr>
            <w:tcW w:w="2547" w:type="dxa"/>
          </w:tcPr>
          <w:p w14:paraId="63F525B8" w14:textId="70F1D4A4" w:rsidR="00BF450F" w:rsidRPr="00632941" w:rsidRDefault="00D66134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cyan"/>
              </w:rPr>
            </w:pPr>
            <w:r w:rsidRPr="00632941">
              <w:rPr>
                <w:b/>
                <w:bCs/>
                <w:sz w:val="18"/>
                <w:szCs w:val="18"/>
                <w:highlight w:val="cyan"/>
              </w:rPr>
              <w:t xml:space="preserve">L4 – </w:t>
            </w:r>
            <w:r w:rsidR="00E03D70" w:rsidRPr="00632941">
              <w:rPr>
                <w:b/>
                <w:bCs/>
                <w:sz w:val="18"/>
                <w:szCs w:val="18"/>
                <w:highlight w:val="cyan"/>
              </w:rPr>
              <w:t>Nutrient</w:t>
            </w:r>
            <w:r w:rsidRPr="00632941">
              <w:rPr>
                <w:b/>
                <w:bCs/>
                <w:sz w:val="18"/>
                <w:szCs w:val="18"/>
                <w:highlight w:val="cyan"/>
              </w:rPr>
              <w:t xml:space="preserve"> Cycle and </w:t>
            </w:r>
            <w:r w:rsidR="00E03D70" w:rsidRPr="00632941">
              <w:rPr>
                <w:b/>
                <w:bCs/>
                <w:sz w:val="18"/>
                <w:szCs w:val="18"/>
                <w:highlight w:val="cyan"/>
              </w:rPr>
              <w:t>Carbon Stores</w:t>
            </w:r>
          </w:p>
        </w:tc>
        <w:tc>
          <w:tcPr>
            <w:tcW w:w="5997" w:type="dxa"/>
            <w:gridSpan w:val="2"/>
          </w:tcPr>
          <w:p w14:paraId="4EB4E1E1" w14:textId="02FA70DC" w:rsidR="00BF450F" w:rsidRPr="00632941" w:rsidRDefault="004D6E11" w:rsidP="2F576A74">
            <w:pPr>
              <w:spacing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  <w:highlight w:val="cyan"/>
              </w:rPr>
            </w:pPr>
            <w:r w:rsidRPr="00632941">
              <w:rPr>
                <w:rStyle w:val="normaltextrun"/>
                <w:rFonts w:ascii="Calibri" w:hAnsi="Calibri" w:cs="Calibri"/>
                <w:b/>
                <w:bCs/>
                <w:color w:val="000000"/>
                <w:position w:val="3"/>
                <w:sz w:val="18"/>
                <w:szCs w:val="18"/>
                <w:highlight w:val="cyan"/>
                <w:shd w:val="clear" w:color="auto" w:fill="EDEBE9"/>
              </w:rPr>
              <w:t>LG1/2</w:t>
            </w:r>
            <w:r w:rsidRPr="00632941">
              <w:rPr>
                <w:rStyle w:val="normaltextrun"/>
                <w:rFonts w:ascii="Calibri" w:hAnsi="Calibri" w:cs="Calibri"/>
                <w:b/>
                <w:bCs/>
                <w:color w:val="000000"/>
                <w:position w:val="3"/>
                <w:sz w:val="18"/>
                <w:szCs w:val="18"/>
                <w:highlight w:val="cyan"/>
                <w:u w:val="single"/>
                <w:shd w:val="clear" w:color="auto" w:fill="EDEBE9"/>
              </w:rPr>
              <w:t>: </w:t>
            </w:r>
            <w:r w:rsidRPr="00632941">
              <w:rPr>
                <w:rStyle w:val="normaltextrun"/>
                <w:rFonts w:ascii="Calibri" w:hAnsi="Calibri" w:cs="Calibri"/>
                <w:color w:val="000000"/>
                <w:position w:val="3"/>
                <w:sz w:val="18"/>
                <w:szCs w:val="18"/>
                <w:highlight w:val="cyan"/>
                <w:shd w:val="clear" w:color="auto" w:fill="EDEBE9"/>
              </w:rPr>
              <w:t>to understand how carbon fluxes through the nutrient cycle and to review carbon cycles up to now.</w:t>
            </w:r>
          </w:p>
        </w:tc>
        <w:tc>
          <w:tcPr>
            <w:tcW w:w="726" w:type="dxa"/>
          </w:tcPr>
          <w:p w14:paraId="0C4A4D02" w14:textId="77777777" w:rsidR="00BF450F" w:rsidRPr="00632941" w:rsidRDefault="00BF450F" w:rsidP="005E4A16">
            <w:pPr>
              <w:spacing w:after="0"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609" w:type="dxa"/>
          </w:tcPr>
          <w:p w14:paraId="1978F828" w14:textId="77777777" w:rsidR="00BF450F" w:rsidRPr="00632941" w:rsidRDefault="00BF450F" w:rsidP="005E4A16">
            <w:pPr>
              <w:spacing w:after="0"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711" w:type="dxa"/>
          </w:tcPr>
          <w:p w14:paraId="50D4D35F" w14:textId="72B059F2" w:rsidR="00BF450F" w:rsidRPr="00632941" w:rsidRDefault="00BF450F" w:rsidP="00BF450F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</w:tr>
      <w:tr w:rsidR="00BF450F" w14:paraId="062B3143" w14:textId="77777777" w:rsidTr="2F576A74">
        <w:trPr>
          <w:trHeight w:val="225"/>
        </w:trPr>
        <w:tc>
          <w:tcPr>
            <w:tcW w:w="2547" w:type="dxa"/>
          </w:tcPr>
          <w:p w14:paraId="22AF1D2A" w14:textId="496B201C" w:rsidR="00BF450F" w:rsidRPr="00632941" w:rsidRDefault="00E03D70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magenta"/>
              </w:rPr>
            </w:pPr>
            <w:r w:rsidRPr="00632941">
              <w:rPr>
                <w:b/>
                <w:bCs/>
                <w:sz w:val="18"/>
                <w:szCs w:val="18"/>
                <w:highlight w:val="magenta"/>
              </w:rPr>
              <w:t>L5 – Energy Security</w:t>
            </w:r>
            <w:r w:rsidR="005653B7" w:rsidRPr="00632941">
              <w:rPr>
                <w:b/>
                <w:bCs/>
                <w:sz w:val="18"/>
                <w:szCs w:val="18"/>
                <w:highlight w:val="magenta"/>
              </w:rPr>
              <w:t>, Energy Consumption and Energy Mix</w:t>
            </w:r>
          </w:p>
        </w:tc>
        <w:tc>
          <w:tcPr>
            <w:tcW w:w="5997" w:type="dxa"/>
            <w:gridSpan w:val="2"/>
          </w:tcPr>
          <w:p w14:paraId="32FE8BC8" w14:textId="1EE996F3" w:rsidR="00682D38" w:rsidRPr="00632941" w:rsidRDefault="006B3D7A" w:rsidP="2F576A74">
            <w:pPr>
              <w:tabs>
                <w:tab w:val="left" w:pos="1065"/>
              </w:tabs>
              <w:spacing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  <w:highlight w:val="magenta"/>
              </w:rPr>
            </w:pPr>
            <w:r w:rsidRPr="006B3D7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magenta"/>
              </w:rPr>
              <w:t>LG1/2:</w:t>
            </w:r>
            <w:r w:rsidRPr="006B3D7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magenta"/>
                <w:u w:val="single"/>
              </w:rPr>
              <w:t xml:space="preserve"> </w:t>
            </w:r>
            <w:r w:rsidRPr="006B3D7A">
              <w:rPr>
                <w:rFonts w:ascii="Calibri" w:hAnsi="Calibri" w:cs="Calibri"/>
                <w:color w:val="000000" w:themeColor="text1"/>
                <w:sz w:val="18"/>
                <w:szCs w:val="18"/>
                <w:highlight w:val="magenta"/>
              </w:rPr>
              <w:t>To understand the concept of energy security. To understand how the energy mix and energy consumption varies globally and the reasons for this.</w:t>
            </w:r>
          </w:p>
        </w:tc>
        <w:tc>
          <w:tcPr>
            <w:tcW w:w="726" w:type="dxa"/>
          </w:tcPr>
          <w:p w14:paraId="6A4541FC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7ADA448D" w14:textId="77777777" w:rsidTr="2F576A74">
        <w:trPr>
          <w:trHeight w:val="225"/>
        </w:trPr>
        <w:tc>
          <w:tcPr>
            <w:tcW w:w="2547" w:type="dxa"/>
          </w:tcPr>
          <w:p w14:paraId="187EB197" w14:textId="53CDB420" w:rsidR="00BF450F" w:rsidRPr="00632941" w:rsidRDefault="005653B7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magenta"/>
              </w:rPr>
            </w:pPr>
            <w:r w:rsidRPr="00632941">
              <w:rPr>
                <w:b/>
                <w:bCs/>
                <w:sz w:val="18"/>
                <w:szCs w:val="18"/>
                <w:highlight w:val="magenta"/>
              </w:rPr>
              <w:t>L6 – Energy Pathways</w:t>
            </w:r>
          </w:p>
        </w:tc>
        <w:tc>
          <w:tcPr>
            <w:tcW w:w="5997" w:type="dxa"/>
            <w:gridSpan w:val="2"/>
          </w:tcPr>
          <w:p w14:paraId="4F6FA680" w14:textId="7109D1DA" w:rsidR="00BF450F" w:rsidRPr="00632941" w:rsidRDefault="004D7153" w:rsidP="2F576A74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  <w:highlight w:val="magenta"/>
              </w:rPr>
            </w:pPr>
            <w:r w:rsidRPr="00632941">
              <w:rPr>
                <w:rStyle w:val="normaltextrun"/>
                <w:rFonts w:ascii="Calibri" w:hAnsi="Calibri" w:cs="Calibri"/>
                <w:b/>
                <w:bCs/>
                <w:color w:val="000000"/>
                <w:position w:val="3"/>
                <w:sz w:val="18"/>
                <w:szCs w:val="18"/>
                <w:highlight w:val="magenta"/>
                <w:shd w:val="clear" w:color="auto" w:fill="EDEBE9"/>
              </w:rPr>
              <w:t>LG1/2:</w:t>
            </w:r>
            <w:r w:rsidRPr="00632941">
              <w:rPr>
                <w:rStyle w:val="normaltextrun"/>
                <w:rFonts w:ascii="Calibri" w:hAnsi="Calibri" w:cs="Calibri"/>
                <w:b/>
                <w:bCs/>
                <w:color w:val="000000"/>
                <w:position w:val="3"/>
                <w:sz w:val="18"/>
                <w:szCs w:val="18"/>
                <w:highlight w:val="magenta"/>
                <w:u w:val="single"/>
                <w:shd w:val="clear" w:color="auto" w:fill="EDEBE9"/>
              </w:rPr>
              <w:t> </w:t>
            </w:r>
            <w:r w:rsidRPr="00632941">
              <w:rPr>
                <w:rStyle w:val="normaltextrun"/>
                <w:rFonts w:ascii="Calibri" w:hAnsi="Calibri" w:cs="Calibri"/>
                <w:color w:val="000000"/>
                <w:position w:val="3"/>
                <w:sz w:val="18"/>
                <w:szCs w:val="18"/>
                <w:highlight w:val="magenta"/>
                <w:shd w:val="clear" w:color="auto" w:fill="EDEBE9"/>
              </w:rPr>
              <w:t>To understand the mismatch between energy supply and demand. To understand the main global players and supply pathways.</w:t>
            </w:r>
          </w:p>
        </w:tc>
        <w:tc>
          <w:tcPr>
            <w:tcW w:w="726" w:type="dxa"/>
          </w:tcPr>
          <w:p w14:paraId="095362A2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4FF5FEB1" w14:textId="77777777" w:rsidTr="2F576A74">
        <w:trPr>
          <w:trHeight w:val="225"/>
        </w:trPr>
        <w:tc>
          <w:tcPr>
            <w:tcW w:w="2547" w:type="dxa"/>
          </w:tcPr>
          <w:p w14:paraId="0C7FFA7F" w14:textId="4AAC91DE" w:rsidR="00BF450F" w:rsidRPr="00632941" w:rsidRDefault="005653B7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magenta"/>
              </w:rPr>
            </w:pPr>
            <w:r w:rsidRPr="00632941">
              <w:rPr>
                <w:b/>
                <w:bCs/>
                <w:sz w:val="18"/>
                <w:szCs w:val="18"/>
                <w:highlight w:val="magenta"/>
              </w:rPr>
              <w:t>L7 – Unconventional Fossil Fuels</w:t>
            </w:r>
          </w:p>
        </w:tc>
        <w:tc>
          <w:tcPr>
            <w:tcW w:w="5997" w:type="dxa"/>
            <w:gridSpan w:val="2"/>
          </w:tcPr>
          <w:p w14:paraId="24B99170" w14:textId="753AB37E" w:rsidR="00BF450F" w:rsidRPr="00632941" w:rsidRDefault="005F6E96" w:rsidP="005E4A16">
            <w:pPr>
              <w:spacing w:after="0" w:line="240" w:lineRule="auto"/>
              <w:rPr>
                <w:sz w:val="18"/>
                <w:szCs w:val="18"/>
                <w:highlight w:val="magenta"/>
              </w:rPr>
            </w:pPr>
            <w:r w:rsidRPr="005F6E96">
              <w:rPr>
                <w:b/>
                <w:bCs/>
                <w:sz w:val="18"/>
                <w:szCs w:val="18"/>
                <w:highlight w:val="magenta"/>
              </w:rPr>
              <w:t xml:space="preserve">LG3: </w:t>
            </w:r>
            <w:r w:rsidRPr="005F6E96">
              <w:rPr>
                <w:sz w:val="18"/>
                <w:szCs w:val="18"/>
                <w:highlight w:val="magenta"/>
              </w:rPr>
              <w:t>To evaluate the costs and benefits and issues related to exploiting unconventional fossil fuels.</w:t>
            </w:r>
          </w:p>
        </w:tc>
        <w:tc>
          <w:tcPr>
            <w:tcW w:w="726" w:type="dxa"/>
          </w:tcPr>
          <w:p w14:paraId="7E0D2B1C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B61518D" w14:textId="77777777" w:rsidTr="2F576A74">
        <w:trPr>
          <w:trHeight w:val="225"/>
        </w:trPr>
        <w:tc>
          <w:tcPr>
            <w:tcW w:w="2547" w:type="dxa"/>
          </w:tcPr>
          <w:p w14:paraId="2D9D228C" w14:textId="16DBD768" w:rsidR="00BF450F" w:rsidRPr="00632941" w:rsidRDefault="005653B7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magenta"/>
              </w:rPr>
            </w:pPr>
            <w:r w:rsidRPr="00632941">
              <w:rPr>
                <w:b/>
                <w:bCs/>
                <w:sz w:val="18"/>
                <w:szCs w:val="18"/>
                <w:highlight w:val="magenta"/>
              </w:rPr>
              <w:t>L8 – Alternative Energy Sources</w:t>
            </w:r>
          </w:p>
        </w:tc>
        <w:tc>
          <w:tcPr>
            <w:tcW w:w="5997" w:type="dxa"/>
            <w:gridSpan w:val="2"/>
          </w:tcPr>
          <w:p w14:paraId="0043153A" w14:textId="6CD4A4F6" w:rsidR="00BF450F" w:rsidRPr="00632941" w:rsidRDefault="00D77A39" w:rsidP="005E4A16">
            <w:pPr>
              <w:spacing w:line="240" w:lineRule="auto"/>
              <w:rPr>
                <w:sz w:val="18"/>
                <w:szCs w:val="18"/>
                <w:highlight w:val="magenta"/>
              </w:rPr>
            </w:pPr>
            <w:r w:rsidRPr="00D77A39">
              <w:rPr>
                <w:b/>
                <w:bCs/>
                <w:sz w:val="18"/>
                <w:szCs w:val="18"/>
                <w:highlight w:val="magenta"/>
              </w:rPr>
              <w:t>LG1/2/3:</w:t>
            </w:r>
            <w:r w:rsidRPr="00D77A39">
              <w:rPr>
                <w:b/>
                <w:bCs/>
                <w:sz w:val="18"/>
                <w:szCs w:val="18"/>
                <w:highlight w:val="magenta"/>
                <w:u w:val="single"/>
              </w:rPr>
              <w:t xml:space="preserve"> </w:t>
            </w:r>
            <w:r w:rsidRPr="00D77A39">
              <w:rPr>
                <w:sz w:val="18"/>
                <w:szCs w:val="18"/>
                <w:highlight w:val="magenta"/>
              </w:rPr>
              <w:t>To understand the viability of alternative energy sources and assess how they affect the energy mix of countries now and in the future</w:t>
            </w:r>
            <w:r w:rsidRPr="00632941">
              <w:rPr>
                <w:sz w:val="18"/>
                <w:szCs w:val="18"/>
                <w:highlight w:val="magenta"/>
              </w:rPr>
              <w:t>.</w:t>
            </w:r>
          </w:p>
        </w:tc>
        <w:tc>
          <w:tcPr>
            <w:tcW w:w="726" w:type="dxa"/>
          </w:tcPr>
          <w:p w14:paraId="289206AC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516BB99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427868A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3CC7019" w14:textId="77777777" w:rsidTr="2F576A74">
        <w:trPr>
          <w:trHeight w:val="225"/>
        </w:trPr>
        <w:tc>
          <w:tcPr>
            <w:tcW w:w="2547" w:type="dxa"/>
          </w:tcPr>
          <w:p w14:paraId="285CD667" w14:textId="739F1983" w:rsidR="00BF450F" w:rsidRPr="00632941" w:rsidRDefault="0045465F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magenta"/>
              </w:rPr>
            </w:pPr>
            <w:r w:rsidRPr="00632941">
              <w:rPr>
                <w:b/>
                <w:bCs/>
                <w:sz w:val="18"/>
                <w:szCs w:val="18"/>
                <w:highlight w:val="magenta"/>
              </w:rPr>
              <w:t>L9 – Radical Technologies</w:t>
            </w:r>
          </w:p>
        </w:tc>
        <w:tc>
          <w:tcPr>
            <w:tcW w:w="5997" w:type="dxa"/>
            <w:gridSpan w:val="2"/>
          </w:tcPr>
          <w:p w14:paraId="0C9A0589" w14:textId="607081F0" w:rsidR="00360585" w:rsidRPr="00632941" w:rsidRDefault="00D91832" w:rsidP="005E4A16">
            <w:pPr>
              <w:spacing w:line="240" w:lineRule="auto"/>
              <w:rPr>
                <w:sz w:val="18"/>
                <w:szCs w:val="18"/>
                <w:highlight w:val="magenta"/>
              </w:rPr>
            </w:pPr>
            <w:r w:rsidRPr="00D91832">
              <w:rPr>
                <w:b/>
                <w:bCs/>
                <w:sz w:val="18"/>
                <w:szCs w:val="18"/>
                <w:highlight w:val="magenta"/>
              </w:rPr>
              <w:t>LG1/2:</w:t>
            </w:r>
            <w:r w:rsidRPr="00D91832">
              <w:rPr>
                <w:b/>
                <w:bCs/>
                <w:sz w:val="18"/>
                <w:szCs w:val="18"/>
                <w:highlight w:val="magenta"/>
                <w:u w:val="single"/>
              </w:rPr>
              <w:t xml:space="preserve"> </w:t>
            </w:r>
            <w:r w:rsidRPr="00D91832">
              <w:rPr>
                <w:sz w:val="18"/>
                <w:szCs w:val="18"/>
                <w:highlight w:val="magenta"/>
              </w:rPr>
              <w:t>To understand and assess the potential technological advances that could reduce carbon emissions and reliance on fossil fuels</w:t>
            </w:r>
            <w:r w:rsidRPr="00632941">
              <w:rPr>
                <w:sz w:val="18"/>
                <w:szCs w:val="18"/>
                <w:highlight w:val="magenta"/>
              </w:rPr>
              <w:t>.</w:t>
            </w:r>
          </w:p>
        </w:tc>
        <w:tc>
          <w:tcPr>
            <w:tcW w:w="726" w:type="dxa"/>
          </w:tcPr>
          <w:p w14:paraId="0BD323A0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E0A7636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65BB3A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39A90D3B" w14:textId="77777777" w:rsidTr="2F576A74">
        <w:trPr>
          <w:trHeight w:val="225"/>
        </w:trPr>
        <w:tc>
          <w:tcPr>
            <w:tcW w:w="2547" w:type="dxa"/>
          </w:tcPr>
          <w:p w14:paraId="1EEB8065" w14:textId="7A975EDE" w:rsidR="00A72197" w:rsidRPr="00632941" w:rsidRDefault="0045465F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green"/>
              </w:rPr>
            </w:pPr>
            <w:r w:rsidRPr="00632941">
              <w:rPr>
                <w:b/>
                <w:bCs/>
                <w:sz w:val="18"/>
                <w:szCs w:val="18"/>
                <w:highlight w:val="green"/>
              </w:rPr>
              <w:t>L10 – Human Threats to the Global Climate System</w:t>
            </w:r>
          </w:p>
        </w:tc>
        <w:tc>
          <w:tcPr>
            <w:tcW w:w="5997" w:type="dxa"/>
            <w:gridSpan w:val="2"/>
          </w:tcPr>
          <w:p w14:paraId="4BA95711" w14:textId="416B1852" w:rsidR="00A72197" w:rsidRPr="00632941" w:rsidRDefault="00F33209" w:rsidP="005E4A16">
            <w:pPr>
              <w:spacing w:line="240" w:lineRule="auto"/>
              <w:rPr>
                <w:sz w:val="18"/>
                <w:szCs w:val="18"/>
                <w:highlight w:val="green"/>
              </w:rPr>
            </w:pPr>
            <w:r w:rsidRPr="00632941">
              <w:rPr>
                <w:rStyle w:val="normaltextrun"/>
                <w:rFonts w:ascii="Calibri" w:hAnsi="Calibri" w:cs="Calibri"/>
                <w:b/>
                <w:bCs/>
                <w:color w:val="000000"/>
                <w:position w:val="4"/>
                <w:sz w:val="18"/>
                <w:szCs w:val="18"/>
                <w:highlight w:val="green"/>
                <w:shd w:val="clear" w:color="auto" w:fill="EDEBE9"/>
              </w:rPr>
              <w:t>LG2/3:</w:t>
            </w:r>
            <w:r w:rsidRPr="00632941">
              <w:rPr>
                <w:rStyle w:val="normaltextrun"/>
                <w:rFonts w:ascii="Calibri" w:hAnsi="Calibri" w:cs="Calibri"/>
                <w:b/>
                <w:bCs/>
                <w:color w:val="000000"/>
                <w:position w:val="4"/>
                <w:sz w:val="18"/>
                <w:szCs w:val="18"/>
                <w:highlight w:val="green"/>
                <w:u w:val="single"/>
                <w:shd w:val="clear" w:color="auto" w:fill="EDEBE9"/>
              </w:rPr>
              <w:t> </w:t>
            </w:r>
            <w:r w:rsidRPr="00632941">
              <w:rPr>
                <w:rStyle w:val="normaltextrun"/>
                <w:rFonts w:ascii="Calibri" w:hAnsi="Calibri" w:cs="Calibri"/>
                <w:color w:val="000000"/>
                <w:position w:val="4"/>
                <w:sz w:val="18"/>
                <w:szCs w:val="18"/>
                <w:highlight w:val="green"/>
                <w:shd w:val="clear" w:color="auto" w:fill="EDEBE9"/>
              </w:rPr>
              <w:t xml:space="preserve">To understand that human actions alter the carbon &amp; water cycles, that </w:t>
            </w:r>
            <w:proofErr w:type="gramStart"/>
            <w:r w:rsidRPr="00632941">
              <w:rPr>
                <w:rStyle w:val="normaltextrun"/>
                <w:rFonts w:ascii="Calibri" w:hAnsi="Calibri" w:cs="Calibri"/>
                <w:color w:val="000000"/>
                <w:position w:val="4"/>
                <w:sz w:val="18"/>
                <w:szCs w:val="18"/>
                <w:highlight w:val="green"/>
                <w:shd w:val="clear" w:color="auto" w:fill="EDEBE9"/>
              </w:rPr>
              <w:t>these affect human</w:t>
            </w:r>
            <w:proofErr w:type="gramEnd"/>
            <w:r w:rsidRPr="00632941">
              <w:rPr>
                <w:rStyle w:val="normaltextrun"/>
                <w:rFonts w:ascii="Calibri" w:hAnsi="Calibri" w:cs="Calibri"/>
                <w:color w:val="000000"/>
                <w:position w:val="4"/>
                <w:sz w:val="18"/>
                <w:szCs w:val="18"/>
                <w:highlight w:val="green"/>
                <w:shd w:val="clear" w:color="auto" w:fill="EDEBE9"/>
              </w:rPr>
              <w:t> </w:t>
            </w:r>
            <w:proofErr w:type="spellStart"/>
            <w:r w:rsidRPr="00632941">
              <w:rPr>
                <w:rStyle w:val="contextualspellingandgrammarerror"/>
                <w:rFonts w:ascii="Calibri" w:hAnsi="Calibri" w:cs="Calibri"/>
                <w:color w:val="000000"/>
                <w:position w:val="4"/>
                <w:sz w:val="18"/>
                <w:szCs w:val="18"/>
                <w:highlight w:val="green"/>
                <w:shd w:val="clear" w:color="auto" w:fill="EDEBE9"/>
              </w:rPr>
              <w:t>well being</w:t>
            </w:r>
            <w:proofErr w:type="spellEnd"/>
            <w:r w:rsidRPr="00632941">
              <w:rPr>
                <w:rStyle w:val="normaltextrun"/>
                <w:rFonts w:ascii="Calibri" w:hAnsi="Calibri" w:cs="Calibri"/>
                <w:color w:val="000000"/>
                <w:position w:val="4"/>
                <w:sz w:val="18"/>
                <w:szCs w:val="18"/>
                <w:highlight w:val="green"/>
                <w:shd w:val="clear" w:color="auto" w:fill="EDEBE9"/>
              </w:rPr>
              <w:t> and that climate change may have an impact on carbon and water cycles.</w:t>
            </w:r>
          </w:p>
        </w:tc>
        <w:tc>
          <w:tcPr>
            <w:tcW w:w="726" w:type="dxa"/>
          </w:tcPr>
          <w:p w14:paraId="3A7DFFBE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EC8EA54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CD244DF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5ECFBF27" w14:textId="77777777" w:rsidTr="2F576A74">
        <w:trPr>
          <w:trHeight w:val="225"/>
        </w:trPr>
        <w:tc>
          <w:tcPr>
            <w:tcW w:w="2547" w:type="dxa"/>
          </w:tcPr>
          <w:p w14:paraId="5ED29F8C" w14:textId="1280DC79" w:rsidR="00A72197" w:rsidRPr="00632941" w:rsidRDefault="0045465F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green"/>
              </w:rPr>
            </w:pPr>
            <w:r w:rsidRPr="00632941">
              <w:rPr>
                <w:b/>
                <w:bCs/>
                <w:sz w:val="18"/>
                <w:szCs w:val="18"/>
                <w:highlight w:val="green"/>
              </w:rPr>
              <w:t>L11</w:t>
            </w:r>
            <w:r w:rsidR="005D7A09" w:rsidRPr="00632941">
              <w:rPr>
                <w:b/>
                <w:bCs/>
                <w:sz w:val="18"/>
                <w:szCs w:val="18"/>
                <w:highlight w:val="green"/>
              </w:rPr>
              <w:t xml:space="preserve"> – Future Climate Projections and Responses</w:t>
            </w:r>
          </w:p>
        </w:tc>
        <w:tc>
          <w:tcPr>
            <w:tcW w:w="5997" w:type="dxa"/>
            <w:gridSpan w:val="2"/>
          </w:tcPr>
          <w:p w14:paraId="513F985F" w14:textId="76FAED81" w:rsidR="00AB3B2D" w:rsidRPr="00632941" w:rsidRDefault="00250DD6" w:rsidP="00874F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 w:rsidRPr="00632941">
              <w:rPr>
                <w:rStyle w:val="normaltextrun"/>
                <w:rFonts w:ascii="Calibri" w:hAnsi="Calibri" w:cs="Calibri"/>
                <w:b/>
                <w:bCs/>
                <w:color w:val="000000"/>
                <w:position w:val="3"/>
                <w:sz w:val="18"/>
                <w:szCs w:val="18"/>
                <w:highlight w:val="green"/>
                <w:u w:val="single"/>
                <w:shd w:val="clear" w:color="auto" w:fill="EDEBE9"/>
              </w:rPr>
              <w:t>LG1/2/3: </w:t>
            </w:r>
            <w:r w:rsidRPr="00632941">
              <w:rPr>
                <w:rStyle w:val="normaltextrun"/>
                <w:rFonts w:ascii="Calibri" w:hAnsi="Calibri" w:cs="Calibri"/>
                <w:color w:val="000000"/>
                <w:position w:val="3"/>
                <w:sz w:val="18"/>
                <w:szCs w:val="18"/>
                <w:highlight w:val="green"/>
                <w:shd w:val="clear" w:color="auto" w:fill="EDEBE9"/>
              </w:rPr>
              <w:t>To understand</w:t>
            </w:r>
            <w:r w:rsidRPr="00632941">
              <w:rPr>
                <w:rStyle w:val="normaltextrun"/>
                <w:rFonts w:ascii="Calibri" w:hAnsi="Calibri" w:cs="Calibri"/>
                <w:color w:val="000000"/>
                <w:position w:val="3"/>
                <w:sz w:val="18"/>
                <w:szCs w:val="18"/>
                <w:highlight w:val="green"/>
                <w:shd w:val="clear" w:color="auto" w:fill="EDEBE9"/>
              </w:rPr>
              <w:t xml:space="preserve"> and assess</w:t>
            </w:r>
            <w:r w:rsidRPr="00632941">
              <w:rPr>
                <w:rStyle w:val="normaltextrun"/>
                <w:rFonts w:ascii="Calibri" w:hAnsi="Calibri" w:cs="Calibri"/>
                <w:color w:val="000000"/>
                <w:position w:val="3"/>
                <w:sz w:val="18"/>
                <w:szCs w:val="18"/>
                <w:highlight w:val="green"/>
                <w:shd w:val="clear" w:color="auto" w:fill="EDEBE9"/>
              </w:rPr>
              <w:t xml:space="preserve"> the future climate scenarios and approaches to adaptation and mitigation of effects.</w:t>
            </w:r>
          </w:p>
        </w:tc>
        <w:tc>
          <w:tcPr>
            <w:tcW w:w="726" w:type="dxa"/>
          </w:tcPr>
          <w:p w14:paraId="0FC55E8A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1C8886F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526DBEC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2C5BF080" w14:textId="77777777" w:rsidTr="2F576A74">
        <w:trPr>
          <w:trHeight w:val="225"/>
        </w:trPr>
        <w:tc>
          <w:tcPr>
            <w:tcW w:w="2547" w:type="dxa"/>
          </w:tcPr>
          <w:p w14:paraId="74CD8D62" w14:textId="0A90ED22" w:rsidR="00A72197" w:rsidRPr="00DA6FAD" w:rsidRDefault="005D7A09" w:rsidP="005E4A16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DA6FAD">
              <w:rPr>
                <w:b/>
                <w:bCs/>
                <w:sz w:val="18"/>
                <w:szCs w:val="18"/>
                <w:highlight w:val="yellow"/>
              </w:rPr>
              <w:t>L12 – Revision and Assessment</w:t>
            </w:r>
          </w:p>
        </w:tc>
        <w:tc>
          <w:tcPr>
            <w:tcW w:w="5997" w:type="dxa"/>
            <w:gridSpan w:val="2"/>
          </w:tcPr>
          <w:p w14:paraId="0CB5D4F4" w14:textId="60A01159" w:rsidR="00A72197" w:rsidRPr="00DA6FAD" w:rsidRDefault="00AC2140" w:rsidP="005E4A16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RPr="00DA6FAD">
              <w:rPr>
                <w:sz w:val="18"/>
                <w:szCs w:val="18"/>
                <w:highlight w:val="yellow"/>
              </w:rPr>
              <w:t>Students should be able to think synoptically about the concepts and issues raised in this unit, drawing on their knowledge and understanding from across Unit 1 and Unit 2 topics. They should be able to assess the likelihood of futur</w:t>
            </w:r>
            <w:r w:rsidR="008652FE" w:rsidRPr="00DA6FAD">
              <w:rPr>
                <w:sz w:val="18"/>
                <w:szCs w:val="18"/>
                <w:highlight w:val="yellow"/>
              </w:rPr>
              <w:t xml:space="preserve">e </w:t>
            </w:r>
            <w:r w:rsidR="00DB421C" w:rsidRPr="00DA6FAD">
              <w:rPr>
                <w:sz w:val="18"/>
                <w:szCs w:val="18"/>
                <w:highlight w:val="yellow"/>
              </w:rPr>
              <w:t>scenarios</w:t>
            </w:r>
            <w:r w:rsidR="008652FE" w:rsidRPr="00DA6FAD">
              <w:rPr>
                <w:sz w:val="18"/>
                <w:szCs w:val="18"/>
                <w:highlight w:val="yellow"/>
              </w:rPr>
              <w:t xml:space="preserve"> with respect to Energy Security and Climate Change</w:t>
            </w:r>
            <w:r w:rsidR="00DB421C" w:rsidRPr="00DA6FAD">
              <w:rPr>
                <w:sz w:val="18"/>
                <w:szCs w:val="18"/>
                <w:highlight w:val="yellow"/>
              </w:rPr>
              <w:t>, looking at the impact of these scenarios on other global systems and orders.</w:t>
            </w:r>
          </w:p>
        </w:tc>
        <w:tc>
          <w:tcPr>
            <w:tcW w:w="726" w:type="dxa"/>
          </w:tcPr>
          <w:p w14:paraId="36B73AEE" w14:textId="77777777" w:rsidR="00A72197" w:rsidRPr="00DA6FAD" w:rsidRDefault="00A72197" w:rsidP="005E4A1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9" w:type="dxa"/>
          </w:tcPr>
          <w:p w14:paraId="2E5C8F55" w14:textId="77777777" w:rsidR="00A72197" w:rsidRPr="00DA6FAD" w:rsidRDefault="00A72197" w:rsidP="005E4A1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1" w:type="dxa"/>
          </w:tcPr>
          <w:p w14:paraId="2FF385AC" w14:textId="77777777" w:rsidR="00A72197" w:rsidRPr="00DA6FAD" w:rsidRDefault="00A72197" w:rsidP="00BF450F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</w:tr>
    </w:tbl>
    <w:p w14:paraId="07C723F2" w14:textId="7751005C" w:rsidR="00471B37" w:rsidRDefault="004D7153">
      <w:r w:rsidRPr="00D372C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0F7B7" wp14:editId="5920AA6A">
                <wp:simplePos x="0" y="0"/>
                <wp:positionH relativeFrom="margin">
                  <wp:align>left</wp:align>
                </wp:positionH>
                <wp:positionV relativeFrom="paragraph">
                  <wp:posOffset>8039100</wp:posOffset>
                </wp:positionV>
                <wp:extent cx="6734175" cy="1057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ABA71" w14:textId="77777777" w:rsidR="00D372C4" w:rsidRPr="00E048FE" w:rsidRDefault="00D372C4" w:rsidP="00D372C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07EF74D2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knowledge of locations, places, processes,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different scales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6141C2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geographical understanding of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concepts and how they are used in relation to places,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 T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 inter-relationships between places, environments and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EC8837" w14:textId="1C7E6196" w:rsidR="00D372C4" w:rsidRPr="00B572A8" w:rsidRDefault="00D372C4" w:rsidP="00B572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Apply knowledge and understanding to interpret, analyse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evaluate geographical information and issues and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make judgements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B572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Select, adapt and use a variety of skills and techniques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investigate questions and issues and communicate findings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0F7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33pt;width:530.25pt;height:83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" fillcolor="window" strokeweight="1.5pt">
                <v:textbox>
                  <w:txbxContent>
                    <w:p w14:paraId="619ABA71" w14:textId="77777777" w:rsidR="00D372C4" w:rsidRPr="00E048FE" w:rsidRDefault="00D372C4" w:rsidP="00D372C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07EF74D2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LG1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knowledge of locations, places, processes,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different scales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86141C2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LG2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geographical understanding of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concepts and how they are used in relation to places,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 T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he inter-relationships between places, environments and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BEC8837" w14:textId="1C7E6196" w:rsidR="00D372C4" w:rsidRPr="00B572A8" w:rsidRDefault="00D372C4" w:rsidP="00B572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Apply knowledge and understanding to interpret, analyse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and evaluate geographical information and issues and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make judgements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B572A8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Select, adapt and use a variety of skills and techniques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investigate questions and issues and communicate findings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046F5"/>
    <w:rsid w:val="00010F3C"/>
    <w:rsid w:val="00033CD4"/>
    <w:rsid w:val="00040540"/>
    <w:rsid w:val="00064EB0"/>
    <w:rsid w:val="00073E33"/>
    <w:rsid w:val="00082805"/>
    <w:rsid w:val="000A4ADB"/>
    <w:rsid w:val="000B079A"/>
    <w:rsid w:val="000F0257"/>
    <w:rsid w:val="000F0A70"/>
    <w:rsid w:val="00123E65"/>
    <w:rsid w:val="00125747"/>
    <w:rsid w:val="0014293E"/>
    <w:rsid w:val="00167E7B"/>
    <w:rsid w:val="001C2075"/>
    <w:rsid w:val="001C3968"/>
    <w:rsid w:val="001E6A96"/>
    <w:rsid w:val="001F23F4"/>
    <w:rsid w:val="001F64ED"/>
    <w:rsid w:val="00207D65"/>
    <w:rsid w:val="00217F6E"/>
    <w:rsid w:val="00236863"/>
    <w:rsid w:val="00250DD6"/>
    <w:rsid w:val="00274AAC"/>
    <w:rsid w:val="002A2687"/>
    <w:rsid w:val="002A28AD"/>
    <w:rsid w:val="002F259E"/>
    <w:rsid w:val="0033675A"/>
    <w:rsid w:val="00343A56"/>
    <w:rsid w:val="003459B1"/>
    <w:rsid w:val="00360585"/>
    <w:rsid w:val="00364DF1"/>
    <w:rsid w:val="00384AEA"/>
    <w:rsid w:val="003A6165"/>
    <w:rsid w:val="003B3F69"/>
    <w:rsid w:val="003B59AD"/>
    <w:rsid w:val="003C6DFD"/>
    <w:rsid w:val="003D7253"/>
    <w:rsid w:val="003F1FC4"/>
    <w:rsid w:val="00402F66"/>
    <w:rsid w:val="004036B5"/>
    <w:rsid w:val="004051BE"/>
    <w:rsid w:val="00416D87"/>
    <w:rsid w:val="00427B46"/>
    <w:rsid w:val="00450A8A"/>
    <w:rsid w:val="0045465F"/>
    <w:rsid w:val="00470D54"/>
    <w:rsid w:val="00471B37"/>
    <w:rsid w:val="00484C73"/>
    <w:rsid w:val="00486EF7"/>
    <w:rsid w:val="004A170E"/>
    <w:rsid w:val="004A5355"/>
    <w:rsid w:val="004B573E"/>
    <w:rsid w:val="004B6EB1"/>
    <w:rsid w:val="004C0F5B"/>
    <w:rsid w:val="004C50D5"/>
    <w:rsid w:val="004D42C0"/>
    <w:rsid w:val="004D4AD1"/>
    <w:rsid w:val="004D6E11"/>
    <w:rsid w:val="004D7153"/>
    <w:rsid w:val="00500F22"/>
    <w:rsid w:val="00523203"/>
    <w:rsid w:val="005404F6"/>
    <w:rsid w:val="00541256"/>
    <w:rsid w:val="005451F0"/>
    <w:rsid w:val="00565343"/>
    <w:rsid w:val="005653B7"/>
    <w:rsid w:val="00572315"/>
    <w:rsid w:val="00576D74"/>
    <w:rsid w:val="005813DA"/>
    <w:rsid w:val="00584245"/>
    <w:rsid w:val="005875CF"/>
    <w:rsid w:val="005908B4"/>
    <w:rsid w:val="005D7A09"/>
    <w:rsid w:val="005E4A16"/>
    <w:rsid w:val="005F567F"/>
    <w:rsid w:val="005F6E96"/>
    <w:rsid w:val="00603105"/>
    <w:rsid w:val="00613F5F"/>
    <w:rsid w:val="00620EA5"/>
    <w:rsid w:val="00632941"/>
    <w:rsid w:val="00642A9E"/>
    <w:rsid w:val="006646A2"/>
    <w:rsid w:val="0067776F"/>
    <w:rsid w:val="00682D38"/>
    <w:rsid w:val="00686F91"/>
    <w:rsid w:val="00694A54"/>
    <w:rsid w:val="006A6437"/>
    <w:rsid w:val="006B3D7A"/>
    <w:rsid w:val="006C4D8A"/>
    <w:rsid w:val="006E38B4"/>
    <w:rsid w:val="006F4BE3"/>
    <w:rsid w:val="00703757"/>
    <w:rsid w:val="00706D01"/>
    <w:rsid w:val="00740989"/>
    <w:rsid w:val="007525DF"/>
    <w:rsid w:val="00761238"/>
    <w:rsid w:val="00773EF1"/>
    <w:rsid w:val="00774F76"/>
    <w:rsid w:val="0079299F"/>
    <w:rsid w:val="007955C7"/>
    <w:rsid w:val="007D0FDE"/>
    <w:rsid w:val="007D4110"/>
    <w:rsid w:val="007E7DB7"/>
    <w:rsid w:val="007F5001"/>
    <w:rsid w:val="00801412"/>
    <w:rsid w:val="00824FF0"/>
    <w:rsid w:val="00827835"/>
    <w:rsid w:val="00831F97"/>
    <w:rsid w:val="008419A7"/>
    <w:rsid w:val="00842972"/>
    <w:rsid w:val="008652FE"/>
    <w:rsid w:val="00874F0B"/>
    <w:rsid w:val="00892E3D"/>
    <w:rsid w:val="008A1A2A"/>
    <w:rsid w:val="008A45CC"/>
    <w:rsid w:val="008B2FF6"/>
    <w:rsid w:val="008B5004"/>
    <w:rsid w:val="008D491A"/>
    <w:rsid w:val="008E416C"/>
    <w:rsid w:val="00907159"/>
    <w:rsid w:val="009226E1"/>
    <w:rsid w:val="00971232"/>
    <w:rsid w:val="00976FA1"/>
    <w:rsid w:val="0099312A"/>
    <w:rsid w:val="009936B3"/>
    <w:rsid w:val="009B2A67"/>
    <w:rsid w:val="009D5671"/>
    <w:rsid w:val="009D7C2F"/>
    <w:rsid w:val="009E6225"/>
    <w:rsid w:val="00A329FF"/>
    <w:rsid w:val="00A41D6A"/>
    <w:rsid w:val="00A4322C"/>
    <w:rsid w:val="00A46D7E"/>
    <w:rsid w:val="00A604EE"/>
    <w:rsid w:val="00A72197"/>
    <w:rsid w:val="00A962AA"/>
    <w:rsid w:val="00AB2BEE"/>
    <w:rsid w:val="00AB3B2D"/>
    <w:rsid w:val="00AB748C"/>
    <w:rsid w:val="00AC2140"/>
    <w:rsid w:val="00AC73C1"/>
    <w:rsid w:val="00AE0ABA"/>
    <w:rsid w:val="00AE2E44"/>
    <w:rsid w:val="00B231CA"/>
    <w:rsid w:val="00B23497"/>
    <w:rsid w:val="00B24E5E"/>
    <w:rsid w:val="00B26D28"/>
    <w:rsid w:val="00B3636A"/>
    <w:rsid w:val="00B42DC3"/>
    <w:rsid w:val="00B5705A"/>
    <w:rsid w:val="00B572A8"/>
    <w:rsid w:val="00B64B6F"/>
    <w:rsid w:val="00B85982"/>
    <w:rsid w:val="00BA535C"/>
    <w:rsid w:val="00BB5526"/>
    <w:rsid w:val="00BC1C13"/>
    <w:rsid w:val="00BE5F06"/>
    <w:rsid w:val="00BF450F"/>
    <w:rsid w:val="00C010E9"/>
    <w:rsid w:val="00C04D51"/>
    <w:rsid w:val="00C04F21"/>
    <w:rsid w:val="00C15CD3"/>
    <w:rsid w:val="00C26004"/>
    <w:rsid w:val="00C46DA0"/>
    <w:rsid w:val="00C67DD9"/>
    <w:rsid w:val="00C7069B"/>
    <w:rsid w:val="00C75E72"/>
    <w:rsid w:val="00C77AE3"/>
    <w:rsid w:val="00CA02C6"/>
    <w:rsid w:val="00CB5402"/>
    <w:rsid w:val="00CD6473"/>
    <w:rsid w:val="00CE49C5"/>
    <w:rsid w:val="00CE54A2"/>
    <w:rsid w:val="00CE6BDA"/>
    <w:rsid w:val="00CF284B"/>
    <w:rsid w:val="00D137E1"/>
    <w:rsid w:val="00D372C4"/>
    <w:rsid w:val="00D405F5"/>
    <w:rsid w:val="00D66134"/>
    <w:rsid w:val="00D72B64"/>
    <w:rsid w:val="00D748ED"/>
    <w:rsid w:val="00D77A39"/>
    <w:rsid w:val="00D90E04"/>
    <w:rsid w:val="00D91832"/>
    <w:rsid w:val="00DA4273"/>
    <w:rsid w:val="00DA6FAD"/>
    <w:rsid w:val="00DB421C"/>
    <w:rsid w:val="00DC774B"/>
    <w:rsid w:val="00DD4FB8"/>
    <w:rsid w:val="00DF2D91"/>
    <w:rsid w:val="00E03D70"/>
    <w:rsid w:val="00E048FE"/>
    <w:rsid w:val="00E117CF"/>
    <w:rsid w:val="00E12BF6"/>
    <w:rsid w:val="00E27C22"/>
    <w:rsid w:val="00E50992"/>
    <w:rsid w:val="00E54214"/>
    <w:rsid w:val="00E85B48"/>
    <w:rsid w:val="00E904C9"/>
    <w:rsid w:val="00EB0FE6"/>
    <w:rsid w:val="00EB77CD"/>
    <w:rsid w:val="00EE16FA"/>
    <w:rsid w:val="00EF1715"/>
    <w:rsid w:val="00F13A99"/>
    <w:rsid w:val="00F15695"/>
    <w:rsid w:val="00F23ABE"/>
    <w:rsid w:val="00F33209"/>
    <w:rsid w:val="00F42DB8"/>
    <w:rsid w:val="00F5275F"/>
    <w:rsid w:val="00F6148E"/>
    <w:rsid w:val="00FA1DA7"/>
    <w:rsid w:val="00FA7092"/>
    <w:rsid w:val="00FD7BEF"/>
    <w:rsid w:val="00FE34C3"/>
    <w:rsid w:val="00FF4C0D"/>
    <w:rsid w:val="00FF504C"/>
    <w:rsid w:val="00FF5140"/>
    <w:rsid w:val="12ED8755"/>
    <w:rsid w:val="230D7810"/>
    <w:rsid w:val="2F576A74"/>
    <w:rsid w:val="6C4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C4D8A"/>
  </w:style>
  <w:style w:type="character" w:customStyle="1" w:styleId="eop">
    <w:name w:val="eop"/>
    <w:basedOn w:val="DefaultParagraphFont"/>
    <w:rsid w:val="008B2FF6"/>
  </w:style>
  <w:style w:type="character" w:customStyle="1" w:styleId="contextualspellingandgrammarerror">
    <w:name w:val="contextualspellingandgrammarerror"/>
    <w:basedOn w:val="DefaultParagraphFont"/>
    <w:rsid w:val="00FA1DA7"/>
  </w:style>
  <w:style w:type="paragraph" w:customStyle="1" w:styleId="paragraph">
    <w:name w:val="paragraph"/>
    <w:basedOn w:val="Normal"/>
    <w:rsid w:val="0087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5C8B4-6A36-4492-A033-96BCA6A335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8494F8-33A4-4491-BF0D-8B1E808FE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Williams3, Tom</cp:lastModifiedBy>
  <cp:revision>57</cp:revision>
  <cp:lastPrinted>2022-02-07T10:02:00Z</cp:lastPrinted>
  <dcterms:created xsi:type="dcterms:W3CDTF">2021-09-09T08:01:00Z</dcterms:created>
  <dcterms:modified xsi:type="dcterms:W3CDTF">2022-02-07T10:03:00Z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