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41BAFA20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64337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3A50F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3A50F0">
              <w:rPr>
                <w:b/>
                <w:sz w:val="24"/>
                <w:szCs w:val="24"/>
              </w:rPr>
              <w:t>Differentiation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41BAFA20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37D1B248">
            <w:pPr>
              <w:spacing w:after="0"/>
              <w:rPr>
                <w:sz w:val="24"/>
                <w:szCs w:val="24"/>
              </w:rPr>
            </w:pPr>
            <w:r w:rsidRPr="41BAFA20" w:rsidR="000B079A">
              <w:rPr>
                <w:sz w:val="24"/>
                <w:szCs w:val="24"/>
              </w:rPr>
              <w:t xml:space="preserve">In this unit you will </w:t>
            </w:r>
            <w:r w:rsidRPr="41BAFA20" w:rsidR="00A772B1">
              <w:rPr>
                <w:sz w:val="24"/>
                <w:szCs w:val="24"/>
              </w:rPr>
              <w:t xml:space="preserve">learn about </w:t>
            </w:r>
            <w:r w:rsidRPr="41BAFA20" w:rsidR="3A9DFB0F">
              <w:rPr>
                <w:sz w:val="24"/>
                <w:szCs w:val="24"/>
              </w:rPr>
              <w:t>pure mathematics</w:t>
            </w:r>
            <w:r w:rsidRPr="41BAFA20" w:rsidR="00A772B1">
              <w:rPr>
                <w:sz w:val="24"/>
                <w:szCs w:val="24"/>
              </w:rPr>
              <w:t>.</w:t>
            </w:r>
            <w:r w:rsidRPr="41BAFA20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41BAFA20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3A50F0" w:rsidTr="41BAFA20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3A50F0" w:rsidP="003A50F0" w:rsidRDefault="003A50F0" w14:paraId="59E8F3DE" w14:textId="51DE50C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7a. Definition, differentiating polynomials, second derivatives</w:t>
            </w:r>
          </w:p>
        </w:tc>
        <w:tc>
          <w:tcPr>
            <w:tcW w:w="6166" w:type="dxa"/>
            <w:gridSpan w:val="3"/>
            <w:tcMar/>
          </w:tcPr>
          <w:p w:rsidRPr="001C3B09" w:rsidR="003A50F0" w:rsidP="003A50F0" w:rsidRDefault="003A50F0" w14:paraId="6211553F" w14:textId="355701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FE7">
              <w:rPr>
                <w:rFonts w:eastAsia="Verdana" w:cstheme="minorHAnsi"/>
              </w:rPr>
              <w:t xml:space="preserve">understand and </w:t>
            </w:r>
            <w:r w:rsidRPr="00E72FE7">
              <w:rPr>
                <w:rFonts w:cstheme="minorHAnsi"/>
              </w:rPr>
              <w:t>be able to</w:t>
            </w:r>
            <w:r w:rsidRPr="00E72FE7">
              <w:rPr>
                <w:rFonts w:eastAsia="Verdana" w:cstheme="minorHAnsi"/>
              </w:rPr>
              <w:t xml:space="preserve"> use the derivative of f(</w:t>
            </w:r>
            <w:r w:rsidRPr="00E72FE7">
              <w:rPr>
                <w:rFonts w:eastAsia="Verdana" w:cstheme="minorHAnsi"/>
                <w:i/>
              </w:rPr>
              <w:t>x</w:t>
            </w:r>
            <w:r w:rsidRPr="00E72FE7">
              <w:rPr>
                <w:rFonts w:eastAsia="Verdana" w:cstheme="minorHAnsi"/>
              </w:rPr>
              <w:t xml:space="preserve">) as the gradient of the tangent to the graph of </w:t>
            </w:r>
            <w:r w:rsidRPr="00E72FE7">
              <w:rPr>
                <w:rFonts w:eastAsia="Verdana" w:cstheme="minorHAnsi"/>
              </w:rPr>
              <w:br/>
            </w:r>
            <w:r w:rsidRPr="00E72FE7">
              <w:rPr>
                <w:rFonts w:eastAsia="Verdana" w:cstheme="minorHAnsi"/>
                <w:i/>
              </w:rPr>
              <w:t>y</w:t>
            </w:r>
            <w:r w:rsidRPr="00E72FE7">
              <w:rPr>
                <w:rFonts w:eastAsia="Verdana" w:cstheme="minorHAnsi"/>
              </w:rPr>
              <w:t> = f(</w:t>
            </w:r>
            <w:r w:rsidRPr="00E72FE7">
              <w:rPr>
                <w:rFonts w:eastAsia="Verdana" w:cstheme="minorHAnsi"/>
                <w:i/>
              </w:rPr>
              <w:t>x</w:t>
            </w:r>
            <w:r w:rsidRPr="00E72FE7">
              <w:rPr>
                <w:rFonts w:eastAsia="Verdana" w:cstheme="minorHAnsi"/>
              </w:rPr>
              <w:t>) at a general point (</w:t>
            </w:r>
            <w:r w:rsidRPr="00E72FE7">
              <w:rPr>
                <w:rFonts w:eastAsia="Verdana" w:cstheme="minorHAnsi"/>
                <w:i/>
              </w:rPr>
              <w:t>x</w:t>
            </w:r>
            <w:r w:rsidRPr="00E72FE7">
              <w:rPr>
                <w:rFonts w:eastAsia="Verdana" w:cstheme="minorHAnsi"/>
              </w:rPr>
              <w:t xml:space="preserve">, </w:t>
            </w:r>
            <w:r w:rsidRPr="00E72FE7">
              <w:rPr>
                <w:rFonts w:eastAsia="Verdana" w:cstheme="minorHAnsi"/>
                <w:i/>
              </w:rPr>
              <w:t>y</w:t>
            </w:r>
            <w:r w:rsidRPr="00E72FE7">
              <w:rPr>
                <w:rFonts w:eastAsia="Verdana" w:cstheme="minorHAnsi"/>
              </w:rPr>
              <w:t>);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6905CFC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3A50F0" w:rsidP="003A50F0" w:rsidRDefault="003A50F0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3A50F0" w:rsidP="003A50F0" w:rsidRDefault="003A50F0" w14:paraId="41477595" w14:textId="62D5590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FE7">
              <w:rPr>
                <w:rFonts w:eastAsia="Verdana" w:cstheme="minorHAnsi"/>
              </w:rPr>
              <w:t>understand the gradient of the tangent as a limit and its interpretation as a rate of change;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4098A64B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3A50F0" w:rsidP="003A50F0" w:rsidRDefault="003A50F0" w14:paraId="44388E5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7A0945" w:rsidR="003A50F0" w:rsidP="003A50F0" w:rsidRDefault="003A50F0" w14:paraId="48B956D4" w14:textId="2DC4A65A">
            <w:pPr>
              <w:spacing w:after="0" w:line="240" w:lineRule="auto"/>
              <w:jc w:val="both"/>
              <w:rPr>
                <w:rFonts w:cstheme="minorHAnsi"/>
              </w:rPr>
            </w:pPr>
            <w:r w:rsidRPr="00E72FE7">
              <w:rPr>
                <w:rFonts w:cstheme="minorHAnsi"/>
              </w:rPr>
              <w:t>be able to</w:t>
            </w:r>
            <w:r w:rsidRPr="00E72FE7">
              <w:rPr>
                <w:rFonts w:eastAsia="Verdana" w:cstheme="minorHAnsi"/>
              </w:rPr>
              <w:t xml:space="preserve"> sketch the gradient function for a given curve;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0944D7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3118F7E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25EAED2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41837512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3A50F0" w:rsidP="003A50F0" w:rsidRDefault="003A50F0" w14:paraId="1A02AFC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7A0945" w:rsidR="003A50F0" w:rsidP="003A50F0" w:rsidRDefault="003A50F0" w14:paraId="741D763F" w14:textId="6C2E9180">
            <w:pPr>
              <w:spacing w:after="0" w:line="240" w:lineRule="auto"/>
              <w:jc w:val="both"/>
              <w:rPr>
                <w:rFonts w:cstheme="minorHAnsi"/>
              </w:rPr>
            </w:pPr>
            <w:r w:rsidRPr="00E72FE7">
              <w:rPr>
                <w:rFonts w:cstheme="minorHAnsi"/>
              </w:rPr>
              <w:t>be able to</w:t>
            </w:r>
            <w:r w:rsidRPr="00E72FE7">
              <w:rPr>
                <w:rFonts w:eastAsia="Verdana" w:cstheme="minorHAnsi"/>
              </w:rPr>
              <w:t xml:space="preserve"> find second derivatives;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294E47B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3B2343C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52EBF78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097F4E28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3A50F0" w:rsidP="003A50F0" w:rsidRDefault="003A50F0" w14:paraId="10128A5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7A0945" w:rsidR="003A50F0" w:rsidP="003A50F0" w:rsidRDefault="003A50F0" w14:paraId="32512184" w14:textId="5190CE4A">
            <w:pPr>
              <w:spacing w:after="0" w:line="240" w:lineRule="auto"/>
              <w:jc w:val="both"/>
              <w:rPr>
                <w:rFonts w:cstheme="minorHAnsi"/>
              </w:rPr>
            </w:pPr>
            <w:r w:rsidRPr="00E72FE7">
              <w:rPr>
                <w:rFonts w:eastAsia="Verdana" w:cstheme="minorHAnsi"/>
              </w:rPr>
              <w:t xml:space="preserve">understand differentiation from first principles for small positive integer powers of </w:t>
            </w:r>
            <w:r w:rsidRPr="00E72FE7">
              <w:rPr>
                <w:rFonts w:eastAsia="Verdana" w:cstheme="minorHAnsi"/>
                <w:i/>
              </w:rPr>
              <w:t>x</w:t>
            </w:r>
            <w:r w:rsidRPr="00E72FE7">
              <w:rPr>
                <w:rFonts w:eastAsia="Verdana" w:cstheme="minorHAnsi"/>
              </w:rPr>
              <w:t>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6D7F817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4F97B5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0A2D5E1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5EF0418B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3A50F0" w:rsidP="003A50F0" w:rsidRDefault="003A50F0" w14:paraId="1D0014B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280DE7" w:rsidR="003A50F0" w:rsidP="003A50F0" w:rsidRDefault="003A50F0" w14:paraId="2727C152" w14:textId="26D4E6C6">
            <w:pPr>
              <w:spacing w:after="0" w:line="240" w:lineRule="auto"/>
              <w:jc w:val="both"/>
              <w:rPr>
                <w:rFonts w:cstheme="minorHAnsi"/>
              </w:rPr>
            </w:pPr>
            <w:r w:rsidRPr="00E72FE7">
              <w:rPr>
                <w:rFonts w:cstheme="minorHAnsi"/>
              </w:rPr>
              <w:t>be able to</w:t>
            </w:r>
            <w:r w:rsidRPr="00E72FE7">
              <w:rPr>
                <w:rFonts w:eastAsia="Verdana" w:cstheme="minorHAnsi"/>
              </w:rPr>
              <w:t xml:space="preserve"> differentiate </w:t>
            </w:r>
            <m:oMath>
              <m:sSup>
                <m:sSupPr>
                  <m:ctrlPr>
                    <w:rPr>
                      <w:rFonts w:ascii="Cambria Math" w:hAnsi="Cambria Math" w:eastAsia="Verdana" w:cstheme="minorHAnsi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eastAsia="Verdana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Verdana" w:cstheme="minorHAnsi"/>
                    </w:rPr>
                    <m:t>n</m:t>
                  </m:r>
                </m:sup>
              </m:sSup>
            </m:oMath>
            <w:r w:rsidRPr="00E72FE7">
              <w:rPr>
                <w:rFonts w:eastAsia="Verdana" w:cstheme="minorHAnsi"/>
              </w:rPr>
              <w:t xml:space="preserve">, for rational values of </w:t>
            </w:r>
            <w:r w:rsidRPr="00E72FE7">
              <w:rPr>
                <w:rFonts w:eastAsia="Verdana" w:cstheme="minorHAnsi"/>
                <w:i/>
              </w:rPr>
              <w:t>n</w:t>
            </w:r>
            <w:r w:rsidRPr="00E72FE7">
              <w:rPr>
                <w:rFonts w:eastAsia="Verdana" w:cstheme="minorHAnsi"/>
              </w:rPr>
              <w:t>, and related constant multiples, sums and differences.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3B302A0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41C9892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6B9F72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0536636B" w14:textId="77777777">
        <w:trPr>
          <w:trHeight w:val="225"/>
        </w:trPr>
        <w:tc>
          <w:tcPr>
            <w:tcW w:w="2524" w:type="dxa"/>
            <w:vMerge w:val="restart"/>
            <w:tcMar/>
          </w:tcPr>
          <w:p w:rsidRPr="001C3B09" w:rsidR="003A50F0" w:rsidP="003A50F0" w:rsidRDefault="003A50F0" w14:paraId="4C7AC261" w14:textId="3D58827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7b. Gradients, tangents, normals, maxima and minima</w:t>
            </w:r>
          </w:p>
        </w:tc>
        <w:tc>
          <w:tcPr>
            <w:tcW w:w="6166" w:type="dxa"/>
            <w:gridSpan w:val="3"/>
            <w:tcMar/>
          </w:tcPr>
          <w:p w:rsidRPr="001C3B09" w:rsidR="003A50F0" w:rsidP="003A50F0" w:rsidRDefault="003A50F0" w14:paraId="1C7FE625" w14:textId="163ADDB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A450F">
              <w:rPr>
                <w:rFonts w:cstheme="minorHAnsi"/>
              </w:rPr>
              <w:t>be able to</w:t>
            </w:r>
            <w:r w:rsidRPr="004A450F">
              <w:rPr>
                <w:rFonts w:eastAsia="Verdana" w:cstheme="minorHAnsi"/>
              </w:rPr>
              <w:t xml:space="preserve"> apply differentiation to find gradients, tangents and normals, maxima and minima and stationary points;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3A50F0" w:rsidTr="41BAFA20" w14:paraId="54AF5D80" w14:textId="77777777">
        <w:trPr>
          <w:trHeight w:val="225"/>
        </w:trPr>
        <w:tc>
          <w:tcPr>
            <w:tcW w:w="2524" w:type="dxa"/>
            <w:vMerge/>
            <w:tcMar/>
          </w:tcPr>
          <w:p w:rsidR="003A50F0" w:rsidP="003A50F0" w:rsidRDefault="003A50F0" w14:paraId="08C265DE" w14:textId="77777777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166" w:type="dxa"/>
            <w:gridSpan w:val="3"/>
            <w:tcMar/>
          </w:tcPr>
          <w:p w:rsidRPr="00A00568" w:rsidR="003A50F0" w:rsidP="003A50F0" w:rsidRDefault="003A50F0" w14:paraId="24CA9A71" w14:textId="48CB2361">
            <w:pPr>
              <w:spacing w:after="0" w:line="240" w:lineRule="auto"/>
              <w:jc w:val="both"/>
              <w:rPr>
                <w:rFonts w:cstheme="minorHAnsi"/>
              </w:rPr>
            </w:pPr>
            <w:r w:rsidRPr="004A450F">
              <w:rPr>
                <w:rFonts w:cstheme="minorHAnsi"/>
              </w:rPr>
              <w:t>be able to</w:t>
            </w:r>
            <w:r w:rsidRPr="004A450F">
              <w:rPr>
                <w:rFonts w:eastAsia="Verdana" w:cstheme="minorHAnsi"/>
              </w:rPr>
              <w:t xml:space="preserve"> identify where functions are increasing or decreasing.</w:t>
            </w:r>
          </w:p>
        </w:tc>
        <w:tc>
          <w:tcPr>
            <w:tcW w:w="673" w:type="dxa"/>
            <w:tcMar/>
          </w:tcPr>
          <w:p w:rsidRPr="001C3B09" w:rsidR="003A50F0" w:rsidP="003A50F0" w:rsidRDefault="003A50F0" w14:paraId="0B939BA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3A50F0" w:rsidP="003A50F0" w:rsidRDefault="003A50F0" w14:paraId="38C6E4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3A50F0" w:rsidP="003A50F0" w:rsidRDefault="003A50F0" w14:paraId="4136217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41BAFA20" w:rsidRDefault="0056489E" w14:paraId="3F6EA0B4" w14:textId="502E2024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62EA32D1" wp14:editId="69267E03">
                <wp:extent xmlns:wp="http://schemas.openxmlformats.org/drawingml/2006/wordprocessingDrawing" cx="6734175" cy="1790700"/>
                <wp:effectExtent xmlns:wp="http://schemas.openxmlformats.org/drawingml/2006/wordprocessingDrawing" l="0" t="0" r="28575" b="19050"/>
                <wp:docPr xmlns:wp="http://schemas.openxmlformats.org/drawingml/2006/wordprocessingDrawing" id="1102772768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56489E" w:rsidP="0056489E" w:rsidRDefault="0056489E" w14:paraId="399A00F2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Pr="0056489E" w:rsidR="0056489E" w:rsidP="0056489E" w:rsidRDefault="0056489E" w14:paraId="035AE2FC" w14:textId="7F2DDD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s</w:t>
                            </w:r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hould know how to differentiate a function and know how to use the 2nd derivative to find stationary points. </w:t>
                            </w:r>
                          </w:p>
                          <w:p xmlns:w14="http://schemas.microsoft.com/office/word/2010/wordml" w:rsidRPr="001C3B09" w:rsidR="0056489E" w:rsidP="0056489E" w:rsidRDefault="0056489E" w14:paraId="2E9E904D" w14:textId="27561E8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should be able to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 knowledge of differentiation to find gradients, tangents and normal, maxima and mini and stationary points.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 should be able to find the values of x for which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 function is increasing or decreasing.    </w:t>
                            </w:r>
                          </w:p>
                          <w:p xmlns:w14="http://schemas.microsoft.com/office/word/2010/wordml" w:rsidR="0056489E" w:rsidP="0056489E" w:rsidRDefault="0056489E" w14:paraId="31872284" w14:textId="7F4C03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bookmarkStart w:name="_GoBack" w:id="0"/>
                            <w:bookmarkEnd w:id="0"/>
                            <w:r w:rsidRPr="0056489E">
                              <w:rPr>
                                <w:sz w:val="24"/>
                                <w:szCs w:val="24"/>
                              </w:rPr>
                              <w:t xml:space="preserve"> show mastery of this topic by being able to differentiate from first principles, interpret gradient in a variety of contexts and sketch a gradient function.  </w:t>
                            </w:r>
                          </w:p>
                          <w:p xmlns:w14="http://schemas.microsoft.com/office/word/2010/wordml" w:rsidR="0056489E" w:rsidP="0056489E" w:rsidRDefault="0056489E" w14:paraId="14129F82" w14:textId="2734D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="0056489E" w:rsidP="0056489E" w:rsidRDefault="0056489E" w14:paraId="365D6B6F" w14:textId="38EF59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="0056489E" w:rsidP="0056489E" w:rsidRDefault="0056489E" w14:paraId="51528E63" w14:textId="672D46E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="0056489E" w:rsidP="0056489E" w:rsidRDefault="0056489E" w14:paraId="1ADB3BAB" w14:textId="678CCC6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Pr="001C3B09" w:rsidR="0056489E" w:rsidP="0056489E" w:rsidRDefault="0056489E" w14:paraId="1F8AC851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2EA32D1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385.5pt;width:530.25pt;height:14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">
                <v:textbox>
                  <w:txbxContent>
                    <w:p xmlns:w14="http://schemas.microsoft.com/office/word/2010/wordml" w:rsidRPr="001C3B09" w:rsidR="0056489E" w:rsidP="0056489E" w:rsidRDefault="0056489E" w14:paraId="399A00F2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Pr="0056489E" w:rsidR="0056489E" w:rsidP="0056489E" w:rsidRDefault="0056489E" w14:paraId="035AE2FC" w14:textId="7F2DDD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>You s</w:t>
                      </w:r>
                      <w:r w:rsidRPr="0056489E">
                        <w:rPr>
                          <w:sz w:val="24"/>
                          <w:szCs w:val="24"/>
                        </w:rPr>
                        <w:t xml:space="preserve">hould know how to differentiate a function and know how to use the 2nd derivative to find stationary points. </w:t>
                      </w:r>
                    </w:p>
                    <w:p xmlns:w14="http://schemas.microsoft.com/office/word/2010/wordml" w:rsidRPr="001C3B09" w:rsidR="0056489E" w:rsidP="0056489E" w:rsidRDefault="0056489E" w14:paraId="2E9E904D" w14:textId="27561E8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56489E">
                        <w:rPr>
                          <w:sz w:val="24"/>
                          <w:szCs w:val="24"/>
                        </w:rPr>
                        <w:t xml:space="preserve">should be able to apply </w:t>
                      </w:r>
                      <w:r>
                        <w:rPr>
                          <w:sz w:val="24"/>
                          <w:szCs w:val="24"/>
                        </w:rPr>
                        <w:t>your</w:t>
                      </w:r>
                      <w:r w:rsidRPr="0056489E">
                        <w:rPr>
                          <w:sz w:val="24"/>
                          <w:szCs w:val="24"/>
                        </w:rPr>
                        <w:t xml:space="preserve"> knowledge of differentiation to find gradients, tangents and normal, maxima and mini and stationary points.</w:t>
                      </w:r>
                      <w:r>
                        <w:rPr>
                          <w:sz w:val="24"/>
                          <w:szCs w:val="24"/>
                        </w:rPr>
                        <w:t xml:space="preserve"> You</w:t>
                      </w:r>
                      <w:r w:rsidRPr="0056489E">
                        <w:rPr>
                          <w:sz w:val="24"/>
                          <w:szCs w:val="24"/>
                        </w:rPr>
                        <w:t xml:space="preserve"> should be able to find the values of x for which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6489E">
                        <w:rPr>
                          <w:sz w:val="24"/>
                          <w:szCs w:val="24"/>
                        </w:rPr>
                        <w:t xml:space="preserve"> function is increasing or decreasing.    </w:t>
                      </w:r>
                    </w:p>
                    <w:p xmlns:w14="http://schemas.microsoft.com/office/word/2010/wordml" w:rsidR="0056489E" w:rsidP="0056489E" w:rsidRDefault="0056489E" w14:paraId="31872284" w14:textId="7F4C03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</w:t>
                      </w:r>
                      <w:bookmarkStart w:name="_GoBack" w:id="1"/>
                      <w:bookmarkEnd w:id="1"/>
                      <w:r w:rsidRPr="0056489E">
                        <w:rPr>
                          <w:sz w:val="24"/>
                          <w:szCs w:val="24"/>
                        </w:rPr>
                        <w:t xml:space="preserve"> show mastery of this topic by being able to differentiate from first principles, interpret gradient in a variety of contexts and sketch a gradient function.  </w:t>
                      </w:r>
                    </w:p>
                    <w:p xmlns:w14="http://schemas.microsoft.com/office/word/2010/wordml" w:rsidR="0056489E" w:rsidP="0056489E" w:rsidRDefault="0056489E" w14:paraId="14129F82" w14:textId="2734D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="0056489E" w:rsidP="0056489E" w:rsidRDefault="0056489E" w14:paraId="365D6B6F" w14:textId="38EF59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="0056489E" w:rsidP="0056489E" w:rsidRDefault="0056489E" w14:paraId="51528E63" w14:textId="672D46E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="0056489E" w:rsidP="0056489E" w:rsidRDefault="0056489E" w14:paraId="1ADB3BAB" w14:textId="678CCC6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Pr="001C3B09" w:rsidR="0056489E" w:rsidP="0056489E" w:rsidRDefault="0056489E" w14:paraId="1F8AC851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E21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F259E"/>
    <w:rsid w:val="0032573D"/>
    <w:rsid w:val="0033675A"/>
    <w:rsid w:val="003459B1"/>
    <w:rsid w:val="003A50F0"/>
    <w:rsid w:val="003B3F69"/>
    <w:rsid w:val="003C6DFD"/>
    <w:rsid w:val="00440B68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6489E"/>
    <w:rsid w:val="00584245"/>
    <w:rsid w:val="00642A9E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A107E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85982"/>
    <w:rsid w:val="00B97A34"/>
    <w:rsid w:val="00BC1C13"/>
    <w:rsid w:val="00C010E9"/>
    <w:rsid w:val="00C33802"/>
    <w:rsid w:val="00C46DA0"/>
    <w:rsid w:val="00C7069B"/>
    <w:rsid w:val="00C82C67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3A9DFB0F"/>
    <w:rsid w:val="3CACDF72"/>
    <w:rsid w:val="41BA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EDF9E-13DF-4389-B8E9-1C031F634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2019-07-09T07:36:00Z</dcterms:created>
  <dcterms:modified xsi:type="dcterms:W3CDTF">2020-06-18T09:33:40Z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