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715"/>
        <w:gridCol w:w="2154"/>
        <w:gridCol w:w="2272"/>
        <w:gridCol w:w="1549"/>
        <w:gridCol w:w="673"/>
        <w:gridCol w:w="568"/>
        <w:gridCol w:w="659"/>
      </w:tblGrid>
      <w:tr w:rsidRPr="001C3B09" w:rsidR="000F0257" w:rsidTr="0AE9611F" w14:paraId="3F929C82" w14:textId="03B0101A">
        <w:trPr>
          <w:trHeight w:val="360"/>
        </w:trPr>
        <w:tc>
          <w:tcPr>
            <w:tcW w:w="2715" w:type="dxa"/>
            <w:tcMar/>
            <w:vAlign w:val="center"/>
          </w:tcPr>
          <w:p w:rsidRPr="001C3B09" w:rsidR="00E85B48" w:rsidP="00E904C9" w:rsidRDefault="00C33802" w14:paraId="28B4EA70" w14:textId="35DEE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1 pure unit </w:t>
            </w:r>
            <w:r w:rsidR="001D670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1D6704">
              <w:rPr>
                <w:b/>
                <w:sz w:val="24"/>
                <w:szCs w:val="24"/>
              </w:rPr>
              <w:t>Further algebra</w:t>
            </w:r>
          </w:p>
        </w:tc>
        <w:tc>
          <w:tcPr>
            <w:tcW w:w="7875" w:type="dxa"/>
            <w:gridSpan w:val="6"/>
            <w:shd w:val="clear" w:color="auto" w:fill="000000" w:themeFill="text1"/>
            <w:tcMar/>
            <w:vAlign w:val="center"/>
          </w:tcPr>
          <w:p w:rsidRPr="001C3B09" w:rsidR="00E85B48" w:rsidP="00E904C9" w:rsidRDefault="001E7AF2" w14:paraId="14666195" w14:textId="65258F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Pr="001C3B09" w:rsidR="000B079A" w:rsidTr="0AE9611F" w14:paraId="06C61167" w14:textId="32188040">
        <w:trPr>
          <w:trHeight w:val="324"/>
        </w:trPr>
        <w:tc>
          <w:tcPr>
            <w:tcW w:w="2715" w:type="dxa"/>
            <w:vMerge w:val="restart"/>
            <w:tcMar/>
          </w:tcPr>
          <w:p w:rsidRPr="001C3B09" w:rsidR="000B079A" w:rsidP="00B24E5E" w:rsidRDefault="000B079A" w14:paraId="72887347" w14:textId="72D13F75">
            <w:pPr>
              <w:spacing w:after="0"/>
              <w:rPr>
                <w:sz w:val="24"/>
                <w:szCs w:val="24"/>
              </w:rPr>
            </w:pPr>
            <w:r w:rsidRPr="0AE9611F" w:rsidR="000B079A">
              <w:rPr>
                <w:sz w:val="24"/>
                <w:szCs w:val="24"/>
              </w:rPr>
              <w:t xml:space="preserve">In this unit you will </w:t>
            </w:r>
            <w:r w:rsidRPr="0AE9611F" w:rsidR="00A772B1">
              <w:rPr>
                <w:sz w:val="24"/>
                <w:szCs w:val="24"/>
              </w:rPr>
              <w:t xml:space="preserve">learn about </w:t>
            </w:r>
            <w:r w:rsidRPr="0AE9611F" w:rsidR="7FF03146">
              <w:rPr>
                <w:sz w:val="24"/>
                <w:szCs w:val="24"/>
              </w:rPr>
              <w:t>pure mathematics</w:t>
            </w:r>
            <w:r w:rsidRPr="0AE9611F" w:rsidR="00A772B1">
              <w:rPr>
                <w:sz w:val="24"/>
                <w:szCs w:val="24"/>
              </w:rPr>
              <w:t>.</w:t>
            </w:r>
            <w:r w:rsidRPr="0AE9611F" w:rsidR="000B079A">
              <w:rPr>
                <w:sz w:val="24"/>
                <w:szCs w:val="24"/>
              </w:rPr>
              <w:t xml:space="preserve"> The aims are as follows:</w:t>
            </w:r>
          </w:p>
          <w:p w:rsidRPr="001C3B09" w:rsidR="000B079A" w:rsidP="00B24E5E" w:rsidRDefault="000B079A" w14:paraId="4F2EF46A" w14:textId="266CD5A4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:rsidRPr="001C3B09" w:rsidR="000B079A" w:rsidP="00B24E5E" w:rsidRDefault="000B079A" w14:paraId="384CC0B5" w14:textId="6E7B450D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:rsidRPr="001C3B09" w:rsidR="000B079A" w:rsidP="00B24E5E" w:rsidRDefault="000B079A" w14:paraId="49C0DC09" w14:textId="32861EEB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154" w:type="dxa"/>
            <w:tcMar/>
          </w:tcPr>
          <w:p w:rsidRPr="001C3B09" w:rsidR="000B079A" w:rsidP="00B24E5E" w:rsidRDefault="000B079A" w14:paraId="6578C887" w14:textId="50EEA67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272" w:type="dxa"/>
            <w:tcMar/>
          </w:tcPr>
          <w:p w:rsidRPr="001C3B09" w:rsidR="000B079A" w:rsidP="00B24E5E" w:rsidRDefault="000B079A" w14:paraId="5A99224F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70FCE77F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0AE9611F" w14:paraId="0684188D" w14:textId="7724BD5A">
        <w:trPr>
          <w:trHeight w:val="330"/>
        </w:trPr>
        <w:tc>
          <w:tcPr>
            <w:tcW w:w="2715" w:type="dxa"/>
            <w:vMerge/>
            <w:tcMar/>
          </w:tcPr>
          <w:p w:rsidRPr="001C3B09" w:rsidR="000B079A" w:rsidP="00B24E5E" w:rsidRDefault="000B079A" w14:paraId="1DEC050A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tcMar/>
          </w:tcPr>
          <w:p w:rsidRPr="001C3B09" w:rsidR="000B079A" w:rsidP="00B24E5E" w:rsidRDefault="000B079A" w14:paraId="028A163F" w14:textId="5546913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578114D0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0AE9611F" w14:paraId="3843AE8E" w14:textId="3DEBBB0E">
        <w:trPr>
          <w:trHeight w:val="285"/>
        </w:trPr>
        <w:tc>
          <w:tcPr>
            <w:tcW w:w="2715" w:type="dxa"/>
            <w:vMerge/>
            <w:tcMar/>
          </w:tcPr>
          <w:p w:rsidRPr="001C3B09" w:rsidR="000B079A" w:rsidP="00B24E5E" w:rsidRDefault="000B079A" w14:paraId="76F948BB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tcMar/>
          </w:tcPr>
          <w:p w:rsidRPr="001C3B09" w:rsidR="000B079A" w:rsidP="00B24E5E" w:rsidRDefault="000B079A" w14:paraId="546816E8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1773D4AA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0AE9611F" w14:paraId="28275D4C" w14:textId="0ED34976">
        <w:trPr>
          <w:trHeight w:val="255"/>
        </w:trPr>
        <w:tc>
          <w:tcPr>
            <w:tcW w:w="2715" w:type="dxa"/>
            <w:vMerge/>
            <w:tcMar/>
          </w:tcPr>
          <w:p w:rsidRPr="001C3B09" w:rsidR="000B079A" w:rsidP="00B24E5E" w:rsidRDefault="000B079A" w14:paraId="613FB33D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tcMar/>
          </w:tcPr>
          <w:p w:rsidRPr="001C3B09" w:rsidR="000B079A" w:rsidP="00B24E5E" w:rsidRDefault="000B079A" w14:paraId="63CC1AA7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5AB5F042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0AE9611F" w14:paraId="5878E7ED" w14:textId="7AF594F8">
        <w:trPr>
          <w:trHeight w:val="270"/>
        </w:trPr>
        <w:tc>
          <w:tcPr>
            <w:tcW w:w="2715" w:type="dxa"/>
            <w:vMerge/>
            <w:tcMar/>
          </w:tcPr>
          <w:p w:rsidRPr="001C3B09" w:rsidR="000B079A" w:rsidP="00B24E5E" w:rsidRDefault="000B079A" w14:paraId="098BF877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tcMar/>
          </w:tcPr>
          <w:p w:rsidRPr="001C3B09" w:rsidR="000B079A" w:rsidP="00B24E5E" w:rsidRDefault="000B079A" w14:paraId="59C793AB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3A60DF50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0AE9611F" w14:paraId="7C997B50" w14:textId="3642D52D">
        <w:trPr>
          <w:trHeight w:val="315"/>
        </w:trPr>
        <w:tc>
          <w:tcPr>
            <w:tcW w:w="2715" w:type="dxa"/>
            <w:vMerge/>
            <w:tcMar/>
          </w:tcPr>
          <w:p w:rsidRPr="001C3B09" w:rsidR="000B079A" w:rsidP="00B24E5E" w:rsidRDefault="000B079A" w14:paraId="02EE26FE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tcMar/>
          </w:tcPr>
          <w:p w:rsidRPr="001C3B09" w:rsidR="000B079A" w:rsidP="00B24E5E" w:rsidRDefault="000B079A" w14:paraId="055A847E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3CF8E794" w14:textId="2E0F3903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0AE9611F" w14:paraId="6AAEE81C" w14:textId="77777777">
        <w:trPr>
          <w:trHeight w:val="628"/>
        </w:trPr>
        <w:tc>
          <w:tcPr>
            <w:tcW w:w="2715" w:type="dxa"/>
            <w:shd w:val="clear" w:color="auto" w:fill="D9D9D9" w:themeFill="background1" w:themeFillShade="D9"/>
            <w:tcMar/>
            <w:vAlign w:val="center"/>
          </w:tcPr>
          <w:p w:rsidRPr="001C3B09" w:rsidR="00CE49C5" w:rsidP="00E904C9" w:rsidRDefault="001E7AF2" w14:paraId="47F3BC38" w14:textId="09FE23E1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5975" w:type="dxa"/>
            <w:gridSpan w:val="3"/>
            <w:shd w:val="clear" w:color="auto" w:fill="D9D9D9" w:themeFill="background1" w:themeFillShade="D9"/>
            <w:tcMar/>
            <w:vAlign w:val="center"/>
          </w:tcPr>
          <w:p w:rsidRPr="001C3B09" w:rsidR="00CE49C5" w:rsidP="00E904C9" w:rsidRDefault="00831F97" w14:paraId="6C88901A" w14:textId="66EB123D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Pr="001C3B09" w:rsidR="000A4ADB">
              <w:rPr>
                <w:b/>
                <w:sz w:val="24"/>
                <w:szCs w:val="24"/>
              </w:rPr>
              <w:t>/</w:t>
            </w:r>
            <w:r w:rsidRPr="001C3B09" w:rsidR="00584245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673" w:type="dxa"/>
            <w:tcMar/>
          </w:tcPr>
          <w:p w:rsidRPr="001C3B09" w:rsidR="00CE49C5" w:rsidP="00B24E5E" w:rsidRDefault="003459B1" w14:paraId="4E0D1487" w14:textId="16DB7890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style="position:absolute;margin-left:1.4pt;margin-top:14.3pt;width:91.5pt;height:26.5pt;z-index:251657216" coordsize="11620,3365" o:spid="_x0000_s1026" w14:anchorId="0ABEDE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1" style="position:absolute;width:3143;height:242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o:title="" r:id="rId10"/>
                      </v:shape>
                      <v:shape id="Picture 4" style="position:absolute;left:8477;top:381;width:3143;height:2425;rotation:18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o:title="" r:id="rId10"/>
                      </v:shape>
                      <v:shape id="Picture 5" style="position:absolute;left:4676;top:581;width:3143;height:2426;rotation:9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o:title="" r:id="rId10"/>
                      </v:shape>
                    </v:group>
                  </w:pict>
                </mc:Fallback>
              </mc:AlternateContent>
            </w:r>
          </w:p>
        </w:tc>
        <w:tc>
          <w:tcPr>
            <w:tcW w:w="568" w:type="dxa"/>
            <w:tcMar/>
          </w:tcPr>
          <w:p w:rsidRPr="001C3B09" w:rsidR="00CE49C5" w:rsidP="00B24E5E" w:rsidRDefault="00CE49C5" w14:paraId="66D96C36" w14:textId="1B7552F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CE49C5" w:rsidP="00B24E5E" w:rsidRDefault="00CE49C5" w14:paraId="3E194668" w14:textId="793E4BF7">
            <w:pPr>
              <w:rPr>
                <w:sz w:val="24"/>
                <w:szCs w:val="24"/>
              </w:rPr>
            </w:pPr>
          </w:p>
        </w:tc>
      </w:tr>
      <w:tr w:rsidRPr="001C3B09" w:rsidR="001D6704" w:rsidTr="0AE9611F" w14:paraId="58E06230" w14:textId="360435D8">
        <w:trPr>
          <w:trHeight w:val="210"/>
        </w:trPr>
        <w:tc>
          <w:tcPr>
            <w:tcW w:w="2715" w:type="dxa"/>
            <w:vMerge w:val="restart"/>
            <w:tcMar/>
          </w:tcPr>
          <w:p w:rsidRPr="001C3B09" w:rsidR="001D6704" w:rsidP="001D6704" w:rsidRDefault="001D6704" w14:paraId="59E8F3DE" w14:textId="37A3324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4a. Algebraic division, factor theorem and proof</w:t>
            </w:r>
          </w:p>
        </w:tc>
        <w:tc>
          <w:tcPr>
            <w:tcW w:w="5975" w:type="dxa"/>
            <w:gridSpan w:val="3"/>
            <w:tcMar/>
          </w:tcPr>
          <w:p w:rsidRPr="001C3B09" w:rsidR="001D6704" w:rsidP="001D6704" w:rsidRDefault="001D6704" w14:paraId="6211553F" w14:textId="110E136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11296">
              <w:rPr>
                <w:rFonts w:eastAsia="Verdana" w:cstheme="minorHAnsi"/>
              </w:rPr>
              <w:t>be able to</w:t>
            </w:r>
            <w:r w:rsidRPr="00811296">
              <w:rPr>
                <w:rFonts w:cstheme="minorHAnsi"/>
              </w:rPr>
              <w:t xml:space="preserve"> use algebraic division;</w:t>
            </w:r>
          </w:p>
        </w:tc>
        <w:tc>
          <w:tcPr>
            <w:tcW w:w="673" w:type="dxa"/>
            <w:tcMar/>
          </w:tcPr>
          <w:p w:rsidRPr="001C3B09" w:rsidR="001D6704" w:rsidP="001D6704" w:rsidRDefault="001D6704" w14:paraId="000DA362" w14:textId="3DC6C5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1D6704" w:rsidP="001D6704" w:rsidRDefault="001D6704" w14:paraId="1E5DF3EC" w14:textId="032C285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1D6704" w:rsidP="001D6704" w:rsidRDefault="001D6704" w14:paraId="5A927ACE" w14:textId="30C6C78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1D6704" w:rsidTr="0AE9611F" w14:paraId="6905CFC4" w14:textId="77777777">
        <w:trPr>
          <w:trHeight w:val="225"/>
        </w:trPr>
        <w:tc>
          <w:tcPr>
            <w:tcW w:w="2715" w:type="dxa"/>
            <w:vMerge/>
            <w:tcMar/>
          </w:tcPr>
          <w:p w:rsidRPr="001C3B09" w:rsidR="001D6704" w:rsidP="001D6704" w:rsidRDefault="001D6704" w14:paraId="498DDBB4" w14:textId="0BFED12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5" w:type="dxa"/>
            <w:gridSpan w:val="3"/>
            <w:tcMar/>
          </w:tcPr>
          <w:p w:rsidRPr="001C3B09" w:rsidR="001D6704" w:rsidP="001D6704" w:rsidRDefault="001D6704" w14:paraId="41477595" w14:textId="12D2D2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11296">
              <w:rPr>
                <w:rFonts w:cstheme="minorHAnsi"/>
              </w:rPr>
              <w:t>know and</w:t>
            </w:r>
            <w:r w:rsidRPr="00811296">
              <w:rPr>
                <w:rFonts w:eastAsia="Verdana" w:cstheme="minorHAnsi"/>
              </w:rPr>
              <w:t xml:space="preserve"> be able to</w:t>
            </w:r>
            <w:r w:rsidRPr="00811296">
              <w:rPr>
                <w:rFonts w:cstheme="minorHAnsi"/>
              </w:rPr>
              <w:t xml:space="preserve"> apply the factor theorem;</w:t>
            </w:r>
          </w:p>
        </w:tc>
        <w:tc>
          <w:tcPr>
            <w:tcW w:w="673" w:type="dxa"/>
            <w:tcMar/>
          </w:tcPr>
          <w:p w:rsidRPr="001C3B09" w:rsidR="001D6704" w:rsidP="001D6704" w:rsidRDefault="001D6704" w14:paraId="6232629A" w14:textId="0FC02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1D6704" w:rsidP="001D6704" w:rsidRDefault="001D6704" w14:paraId="41FDA276" w14:textId="2F5D92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1D6704" w:rsidP="001D6704" w:rsidRDefault="001D6704" w14:paraId="3A4E4DA7" w14:textId="333438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1D6704" w:rsidTr="0AE9611F" w14:paraId="5EF0418B" w14:textId="77777777">
        <w:trPr>
          <w:trHeight w:val="225"/>
        </w:trPr>
        <w:tc>
          <w:tcPr>
            <w:tcW w:w="2715" w:type="dxa"/>
            <w:vMerge/>
            <w:tcMar/>
          </w:tcPr>
          <w:p w:rsidRPr="001C3B09" w:rsidR="001D6704" w:rsidP="001D6704" w:rsidRDefault="001D6704" w14:paraId="1D0014B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5" w:type="dxa"/>
            <w:gridSpan w:val="3"/>
            <w:tcMar/>
          </w:tcPr>
          <w:p w:rsidRPr="00280DE7" w:rsidR="001D6704" w:rsidP="001D6704" w:rsidRDefault="001D6704" w14:paraId="2727C152" w14:textId="3CE3E2C2">
            <w:pPr>
              <w:spacing w:after="0" w:line="240" w:lineRule="auto"/>
              <w:jc w:val="both"/>
              <w:rPr>
                <w:rFonts w:cstheme="minorHAnsi"/>
              </w:rPr>
            </w:pPr>
            <w:r w:rsidRPr="00811296">
              <w:rPr>
                <w:rFonts w:eastAsia="Verdana" w:cstheme="minorHAnsi"/>
              </w:rPr>
              <w:t>be able to</w:t>
            </w:r>
            <w:r w:rsidRPr="00811296">
              <w:rPr>
                <w:rFonts w:cstheme="minorHAnsi"/>
              </w:rPr>
              <w:t xml:space="preserve"> fully factorise a cubic expression;</w:t>
            </w:r>
          </w:p>
        </w:tc>
        <w:tc>
          <w:tcPr>
            <w:tcW w:w="673" w:type="dxa"/>
            <w:tcMar/>
          </w:tcPr>
          <w:p w:rsidRPr="001C3B09" w:rsidR="001D6704" w:rsidP="001D6704" w:rsidRDefault="001D6704" w14:paraId="3B302A0A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1D6704" w:rsidP="001D6704" w:rsidRDefault="001D6704" w14:paraId="41C98927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1D6704" w:rsidP="001D6704" w:rsidRDefault="001D6704" w14:paraId="6B9F724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1D6704" w:rsidTr="0AE9611F" w14:paraId="099C8A33" w14:textId="77777777">
        <w:trPr>
          <w:trHeight w:val="225"/>
        </w:trPr>
        <w:tc>
          <w:tcPr>
            <w:tcW w:w="2715" w:type="dxa"/>
            <w:vMerge/>
            <w:tcMar/>
          </w:tcPr>
          <w:p w:rsidRPr="001C3B09" w:rsidR="001D6704" w:rsidP="001D6704" w:rsidRDefault="001D6704" w14:paraId="6392C8E4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5" w:type="dxa"/>
            <w:gridSpan w:val="3"/>
            <w:tcMar/>
          </w:tcPr>
          <w:p w:rsidRPr="000D038B" w:rsidR="001D6704" w:rsidP="001D6704" w:rsidRDefault="001D6704" w14:paraId="1131C0C0" w14:textId="5A1CE5E3">
            <w:pPr>
              <w:spacing w:after="0" w:line="240" w:lineRule="auto"/>
              <w:jc w:val="both"/>
              <w:rPr>
                <w:rFonts w:cstheme="minorHAnsi"/>
              </w:rPr>
            </w:pPr>
            <w:r w:rsidRPr="00811296">
              <w:rPr>
                <w:rFonts w:cstheme="minorHAnsi"/>
              </w:rPr>
              <w:t xml:space="preserve">understand and </w:t>
            </w:r>
            <w:r w:rsidRPr="00811296">
              <w:rPr>
                <w:rFonts w:eastAsia="Verdana" w:cstheme="minorHAnsi"/>
              </w:rPr>
              <w:t>be able to</w:t>
            </w:r>
            <w:r w:rsidRPr="00811296">
              <w:rPr>
                <w:rFonts w:cstheme="minorHAnsi"/>
              </w:rPr>
              <w:t xml:space="preserve"> use the structure of mathematical proof, proceeding from given assumptions through a series of logical steps to a conclusion;</w:t>
            </w:r>
          </w:p>
        </w:tc>
        <w:tc>
          <w:tcPr>
            <w:tcW w:w="673" w:type="dxa"/>
            <w:tcMar/>
          </w:tcPr>
          <w:p w:rsidRPr="001C3B09" w:rsidR="001D6704" w:rsidP="001D6704" w:rsidRDefault="001D6704" w14:paraId="3CBC4B22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1D6704" w:rsidP="001D6704" w:rsidRDefault="001D6704" w14:paraId="1E9B38D6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1D6704" w:rsidP="001D6704" w:rsidRDefault="001D6704" w14:paraId="43E02948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1D6704" w:rsidTr="0AE9611F" w14:paraId="0FBDD03C" w14:textId="77777777">
        <w:trPr>
          <w:trHeight w:val="225"/>
        </w:trPr>
        <w:tc>
          <w:tcPr>
            <w:tcW w:w="2715" w:type="dxa"/>
            <w:vMerge/>
            <w:tcMar/>
          </w:tcPr>
          <w:p w:rsidRPr="001C3B09" w:rsidR="001D6704" w:rsidP="001D6704" w:rsidRDefault="001D6704" w14:paraId="63F525B8" w14:textId="2219369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5" w:type="dxa"/>
            <w:gridSpan w:val="3"/>
            <w:tcMar/>
          </w:tcPr>
          <w:p w:rsidRPr="001C3B09" w:rsidR="001D6704" w:rsidP="001D6704" w:rsidRDefault="001D6704" w14:paraId="4EB4E1E1" w14:textId="602A5CA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11296">
              <w:rPr>
                <w:rFonts w:eastAsia="Verdana" w:cstheme="minorHAnsi"/>
              </w:rPr>
              <w:t>be able to</w:t>
            </w:r>
            <w:r w:rsidRPr="00811296">
              <w:rPr>
                <w:rFonts w:cstheme="minorHAnsi"/>
              </w:rPr>
              <w:t xml:space="preserve"> use methods of proof, including proof by deduction, proof by exhaustion and disproof by </w:t>
            </w:r>
            <w:proofErr w:type="gramStart"/>
            <w:r w:rsidRPr="00811296">
              <w:rPr>
                <w:rFonts w:cstheme="minorHAnsi"/>
              </w:rPr>
              <w:t>counter-example</w:t>
            </w:r>
            <w:proofErr w:type="gramEnd"/>
            <w:r w:rsidRPr="00811296">
              <w:rPr>
                <w:rFonts w:cstheme="minorHAnsi"/>
              </w:rPr>
              <w:t>.</w:t>
            </w:r>
          </w:p>
        </w:tc>
        <w:tc>
          <w:tcPr>
            <w:tcW w:w="673" w:type="dxa"/>
            <w:tcMar/>
          </w:tcPr>
          <w:p w:rsidRPr="001C3B09" w:rsidR="001D6704" w:rsidP="001D6704" w:rsidRDefault="001D6704" w14:paraId="0C4A4D02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1D6704" w:rsidP="001D6704" w:rsidRDefault="001D6704" w14:paraId="1978F828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1D6704" w:rsidP="001D6704" w:rsidRDefault="001D6704" w14:paraId="50D4D35F" w14:textId="72B059F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296EDE" w:rsidTr="0AE9611F" w14:paraId="0536636B" w14:textId="77777777">
        <w:trPr>
          <w:trHeight w:val="225"/>
        </w:trPr>
        <w:tc>
          <w:tcPr>
            <w:tcW w:w="2715" w:type="dxa"/>
            <w:vMerge w:val="restart"/>
            <w:tcMar/>
          </w:tcPr>
          <w:p w:rsidRPr="001C3B09" w:rsidR="00296EDE" w:rsidP="00296EDE" w:rsidRDefault="00296EDE" w14:paraId="4C7AC261" w14:textId="4D40241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4b. The binomial expansion</w:t>
            </w:r>
          </w:p>
        </w:tc>
        <w:tc>
          <w:tcPr>
            <w:tcW w:w="5975" w:type="dxa"/>
            <w:gridSpan w:val="3"/>
            <w:tcMar/>
          </w:tcPr>
          <w:p w:rsidRPr="001C3B09" w:rsidR="00296EDE" w:rsidP="00296EDE" w:rsidRDefault="00296EDE" w14:paraId="1C7FE625" w14:textId="59F8825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00568">
              <w:rPr>
                <w:rFonts w:cstheme="minorHAnsi"/>
              </w:rPr>
              <w:t>understand and be able to use the binomial expansion of (</w:t>
            </w:r>
            <w:r w:rsidRPr="00A00568">
              <w:rPr>
                <w:rFonts w:cstheme="minorHAnsi"/>
                <w:i/>
              </w:rPr>
              <w:t>a</w:t>
            </w:r>
            <w:r w:rsidRPr="00A00568">
              <w:rPr>
                <w:rFonts w:cstheme="minorHAnsi"/>
              </w:rPr>
              <w:t xml:space="preserve"> + </w:t>
            </w:r>
            <w:proofErr w:type="spellStart"/>
            <w:proofErr w:type="gramStart"/>
            <w:r w:rsidRPr="00A00568">
              <w:rPr>
                <w:rFonts w:cstheme="minorHAnsi"/>
                <w:i/>
              </w:rPr>
              <w:t>bx</w:t>
            </w:r>
            <w:proofErr w:type="spellEnd"/>
            <w:r w:rsidRPr="00A00568">
              <w:rPr>
                <w:rFonts w:cstheme="minorHAnsi"/>
              </w:rPr>
              <w:t>)</w:t>
            </w:r>
            <w:r w:rsidRPr="00A00568">
              <w:rPr>
                <w:rFonts w:cstheme="minorHAnsi"/>
                <w:i/>
                <w:vertAlign w:val="superscript"/>
              </w:rPr>
              <w:t>n</w:t>
            </w:r>
            <w:proofErr w:type="gramEnd"/>
            <w:r w:rsidRPr="00A00568">
              <w:rPr>
                <w:rFonts w:cstheme="minorHAnsi"/>
              </w:rPr>
              <w:t xml:space="preserve"> for positive integer </w:t>
            </w:r>
            <w:r w:rsidRPr="00A00568">
              <w:rPr>
                <w:rFonts w:eastAsia="Times New Roman" w:cstheme="minorHAnsi"/>
                <w:i/>
              </w:rPr>
              <w:t>n</w:t>
            </w:r>
            <w:r w:rsidRPr="00A00568">
              <w:rPr>
                <w:rFonts w:eastAsia="Times New Roman" w:cstheme="minorHAnsi"/>
              </w:rPr>
              <w:t>;</w:t>
            </w:r>
          </w:p>
        </w:tc>
        <w:tc>
          <w:tcPr>
            <w:tcW w:w="673" w:type="dxa"/>
            <w:tcMar/>
          </w:tcPr>
          <w:p w:rsidRPr="001C3B09" w:rsidR="00296EDE" w:rsidP="00296EDE" w:rsidRDefault="00296EDE" w14:paraId="71ACEA4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296EDE" w:rsidP="00296EDE" w:rsidRDefault="00296EDE" w14:paraId="11A4F25A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296EDE" w:rsidP="00296EDE" w:rsidRDefault="00296EDE" w14:paraId="7FF215A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296EDE" w:rsidTr="0AE9611F" w14:paraId="1FC27214" w14:textId="77777777">
        <w:trPr>
          <w:trHeight w:val="225"/>
        </w:trPr>
        <w:tc>
          <w:tcPr>
            <w:tcW w:w="2715" w:type="dxa"/>
            <w:vMerge/>
            <w:tcMar/>
          </w:tcPr>
          <w:p w:rsidRPr="001C3B09" w:rsidR="00296EDE" w:rsidP="00296EDE" w:rsidRDefault="00296EDE" w14:paraId="114D1DF4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5" w:type="dxa"/>
            <w:gridSpan w:val="3"/>
            <w:tcMar/>
          </w:tcPr>
          <w:p w:rsidRPr="003B3041" w:rsidR="00296EDE" w:rsidP="00296EDE" w:rsidRDefault="00296EDE" w14:paraId="5682E099" w14:textId="12D4A3CD">
            <w:pPr>
              <w:spacing w:after="0" w:line="240" w:lineRule="auto"/>
              <w:jc w:val="both"/>
              <w:rPr>
                <w:rFonts w:eastAsia="Verdana" w:cstheme="minorHAnsi"/>
              </w:rPr>
            </w:pPr>
            <w:r w:rsidRPr="00A00568">
              <w:rPr>
                <w:rFonts w:cstheme="minorHAnsi"/>
              </w:rPr>
              <w:t>be able to find an unknown coefficient of a binomial expansion.</w:t>
            </w:r>
          </w:p>
        </w:tc>
        <w:tc>
          <w:tcPr>
            <w:tcW w:w="673" w:type="dxa"/>
            <w:tcMar/>
          </w:tcPr>
          <w:p w:rsidRPr="001C3B09" w:rsidR="00296EDE" w:rsidP="00296EDE" w:rsidRDefault="00296EDE" w14:paraId="75EF27F1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296EDE" w:rsidP="00296EDE" w:rsidRDefault="00296EDE" w14:paraId="72DC4B00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296EDE" w:rsidP="00296EDE" w:rsidRDefault="00296EDE" w14:paraId="083621F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32573D" w:rsidP="0AE9611F" w:rsidRDefault="0032573D" w14:paraId="3F6EA0B4" w14:noSpellErr="1" w14:textId="60B4FE07">
      <w:pPr>
        <w:pStyle w:val="Normal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33CC0A9C" wp14:editId="19F41859">
                <wp:extent xmlns:wp="http://schemas.openxmlformats.org/drawingml/2006/wordprocessingDrawing" cx="6734175" cy="2066925"/>
                <wp:effectExtent xmlns:wp="http://schemas.openxmlformats.org/drawingml/2006/wordprocessingDrawing" l="0" t="0" r="28575" b="28575"/>
                <wp:docPr xmlns:wp="http://schemas.openxmlformats.org/drawingml/2006/wordprocessingDrawing" id="534438802" name="Text Box 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3417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Pr="001C3B09" w:rsidR="00B3338A" w:rsidP="00B3338A" w:rsidRDefault="00B3338A" w14:paraId="5057E7F0" w14:textId="7777777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xmlns:w14="http://schemas.microsoft.com/office/word/2010/wordml" w:rsidRPr="00B3338A" w:rsidR="00B3338A" w:rsidP="00B3338A" w:rsidRDefault="00B3338A" w14:paraId="48242A97" w14:textId="4735A3B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Pr="00B3338A">
                              <w:rPr>
                                <w:sz w:val="24"/>
                                <w:szCs w:val="24"/>
                              </w:rPr>
                              <w:t xml:space="preserve"> should know how to construct an algebraic </w:t>
                            </w:r>
                            <w:proofErr w:type="gramStart"/>
                            <w:r w:rsidRPr="00B3338A">
                              <w:rPr>
                                <w:sz w:val="24"/>
                                <w:szCs w:val="24"/>
                              </w:rPr>
                              <w:t>proof, and</w:t>
                            </w:r>
                            <w:proofErr w:type="gramEnd"/>
                            <w:r w:rsidRPr="00B3338A">
                              <w:rPr>
                                <w:sz w:val="24"/>
                                <w:szCs w:val="24"/>
                              </w:rPr>
                              <w:t xml:space="preserve"> know different methods of proof 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nd disproof</w:t>
                            </w:r>
                            <w:r w:rsidRPr="00B3338A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Pr="00B3338A">
                              <w:rPr>
                                <w:sz w:val="24"/>
                                <w:szCs w:val="24"/>
                              </w:rPr>
                              <w:t xml:space="preserve"> should know how to find terms in a binomial expansion for positive integer powers.    </w:t>
                            </w:r>
                          </w:p>
                          <w:p xmlns:w14="http://schemas.microsoft.com/office/word/2010/wordml" w:rsidRPr="001C3B09" w:rsidR="00B3338A" w:rsidP="00B3338A" w:rsidRDefault="00B3338A" w14:paraId="0D11B938" w14:textId="038BD49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 will</w:t>
                            </w:r>
                            <w:r w:rsidRPr="00B3338A">
                              <w:rPr>
                                <w:sz w:val="24"/>
                                <w:szCs w:val="24"/>
                              </w:rPr>
                              <w:t xml:space="preserve"> be able to apply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r w:rsidRPr="00B3338A">
                              <w:rPr>
                                <w:sz w:val="24"/>
                                <w:szCs w:val="24"/>
                              </w:rPr>
                              <w:t xml:space="preserve"> knowledge of proof methodologies to select and use appropriate proof methodologies, understanding how to set up initial assumptions or to express numbers in appropriate algebraic forms before proceeding through a convincing Mathematical argument. </w:t>
                            </w:r>
                          </w:p>
                          <w:p xmlns:w14="http://schemas.microsoft.com/office/word/2010/wordml" w:rsidRPr="001C3B09" w:rsidR="00B3338A" w:rsidP="00B3338A" w:rsidRDefault="00B3338A" w14:paraId="3BC7F920" w14:textId="3204D3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 should</w:t>
                            </w:r>
                            <w:r w:rsidRPr="00B3338A">
                              <w:rPr>
                                <w:sz w:val="24"/>
                                <w:szCs w:val="24"/>
                              </w:rPr>
                              <w:t xml:space="preserve"> have </w:t>
                            </w:r>
                            <w:proofErr w:type="gramStart"/>
                            <w:r w:rsidRPr="00B3338A">
                              <w:rPr>
                                <w:sz w:val="24"/>
                                <w:szCs w:val="24"/>
                              </w:rPr>
                              <w:t>sufficient</w:t>
                            </w:r>
                            <w:proofErr w:type="gramEnd"/>
                            <w:r w:rsidRPr="00B3338A">
                              <w:rPr>
                                <w:sz w:val="24"/>
                                <w:szCs w:val="24"/>
                              </w:rPr>
                              <w:t xml:space="preserve"> mastery and understanding of the procedures in this topic that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can</w:t>
                            </w:r>
                            <w:r w:rsidRPr="00B3338A">
                              <w:rPr>
                                <w:sz w:val="24"/>
                                <w:szCs w:val="24"/>
                              </w:rPr>
                              <w:t xml:space="preserve"> can (for example) demonstrate links between using Pascal’s triangle, and expansion of brackets when exploring binomial expansion.     </w:t>
                            </w:r>
                          </w:p>
                          <w:p xmlns:w14="http://schemas.microsoft.com/office/word/2010/wordml" w:rsidR="00B3338A" w:rsidP="00B3338A" w:rsidRDefault="00B3338A" w14:paraId="0D1772B6" w14:textId="5B969B1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33CC0A9C">
                <v:stroke joinstyle="miter"/>
                <v:path gradientshapeok="t" o:connecttype="rect"/>
              </v:shapetype>
              <v:shape xmlns:o="urn:schemas-microsoft-com:office:office" xmlns:v="urn:schemas-microsoft-com:vml" id="Text Box 6" style="position:absolute;margin-left:0;margin-top:335.25pt;width:530.25pt;height:162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6" fillcolor="white [3201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">
                <v:textbox>
                  <w:txbxContent>
                    <w:p xmlns:w14="http://schemas.microsoft.com/office/word/2010/wordml" w:rsidRPr="001C3B09" w:rsidR="00B3338A" w:rsidP="00B3338A" w:rsidRDefault="00B3338A" w14:paraId="5057E7F0" w14:textId="7777777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xmlns:w14="http://schemas.microsoft.com/office/word/2010/wordml" w:rsidRPr="00B3338A" w:rsidR="00B3338A" w:rsidP="00B3338A" w:rsidRDefault="00B3338A" w14:paraId="48242A97" w14:textId="4735A3B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>You</w:t>
                      </w:r>
                      <w:r w:rsidRPr="00B3338A">
                        <w:rPr>
                          <w:sz w:val="24"/>
                          <w:szCs w:val="24"/>
                        </w:rPr>
                        <w:t xml:space="preserve"> should know how to construct an algebraic </w:t>
                      </w:r>
                      <w:proofErr w:type="gramStart"/>
                      <w:r w:rsidRPr="00B3338A">
                        <w:rPr>
                          <w:sz w:val="24"/>
                          <w:szCs w:val="24"/>
                        </w:rPr>
                        <w:t>proof, and</w:t>
                      </w:r>
                      <w:proofErr w:type="gramEnd"/>
                      <w:r w:rsidRPr="00B3338A">
                        <w:rPr>
                          <w:sz w:val="24"/>
                          <w:szCs w:val="24"/>
                        </w:rPr>
                        <w:t xml:space="preserve"> know different methods of proof a</w:t>
                      </w:r>
                      <w:r>
                        <w:rPr>
                          <w:sz w:val="24"/>
                          <w:szCs w:val="24"/>
                        </w:rPr>
                        <w:t>nd disproof</w:t>
                      </w:r>
                      <w:r w:rsidRPr="00B3338A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You</w:t>
                      </w:r>
                      <w:r w:rsidRPr="00B3338A">
                        <w:rPr>
                          <w:sz w:val="24"/>
                          <w:szCs w:val="24"/>
                        </w:rPr>
                        <w:t xml:space="preserve"> should know how to find terms in a binomial expansion for positive integer powers.    </w:t>
                      </w:r>
                    </w:p>
                    <w:p xmlns:w14="http://schemas.microsoft.com/office/word/2010/wordml" w:rsidRPr="001C3B09" w:rsidR="00B3338A" w:rsidP="00B3338A" w:rsidRDefault="00B3338A" w14:paraId="0D11B938" w14:textId="038BD49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You will</w:t>
                      </w:r>
                      <w:r w:rsidRPr="00B3338A">
                        <w:rPr>
                          <w:sz w:val="24"/>
                          <w:szCs w:val="24"/>
                        </w:rPr>
                        <w:t xml:space="preserve"> be able to apply </w:t>
                      </w:r>
                      <w:r>
                        <w:rPr>
                          <w:sz w:val="24"/>
                          <w:szCs w:val="24"/>
                        </w:rPr>
                        <w:t>your</w:t>
                      </w:r>
                      <w:r w:rsidRPr="00B3338A">
                        <w:rPr>
                          <w:sz w:val="24"/>
                          <w:szCs w:val="24"/>
                        </w:rPr>
                        <w:t xml:space="preserve"> knowledge of proof methodologies to select and use appropriate proof methodologies, understanding how to set up initial assumptions or to express numbers in appropriate algebraic forms before proceeding through a convincing Mathematical argument. </w:t>
                      </w:r>
                    </w:p>
                    <w:p xmlns:w14="http://schemas.microsoft.com/office/word/2010/wordml" w:rsidRPr="001C3B09" w:rsidR="00B3338A" w:rsidP="00B3338A" w:rsidRDefault="00B3338A" w14:paraId="3BC7F920" w14:textId="3204D3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>You should</w:t>
                      </w:r>
                      <w:r w:rsidRPr="00B3338A">
                        <w:rPr>
                          <w:sz w:val="24"/>
                          <w:szCs w:val="24"/>
                        </w:rPr>
                        <w:t xml:space="preserve"> have </w:t>
                      </w:r>
                      <w:proofErr w:type="gramStart"/>
                      <w:r w:rsidRPr="00B3338A">
                        <w:rPr>
                          <w:sz w:val="24"/>
                          <w:szCs w:val="24"/>
                        </w:rPr>
                        <w:t>sufficient</w:t>
                      </w:r>
                      <w:proofErr w:type="gramEnd"/>
                      <w:r w:rsidRPr="00B3338A">
                        <w:rPr>
                          <w:sz w:val="24"/>
                          <w:szCs w:val="24"/>
                        </w:rPr>
                        <w:t xml:space="preserve"> mastery and understanding of the procedures in this topic that</w:t>
                      </w:r>
                      <w:r>
                        <w:rPr>
                          <w:sz w:val="24"/>
                          <w:szCs w:val="24"/>
                        </w:rPr>
                        <w:t xml:space="preserve"> can</w:t>
                      </w:r>
                      <w:r w:rsidRPr="00B3338A">
                        <w:rPr>
                          <w:sz w:val="24"/>
                          <w:szCs w:val="24"/>
                        </w:rPr>
                        <w:t xml:space="preserve"> can (for example) demonstrate links between using Pascal’s triangle, and expansion of brackets when exploring binomial expansion.     </w:t>
                      </w:r>
                    </w:p>
                    <w:p xmlns:w14="http://schemas.microsoft.com/office/word/2010/wordml" w:rsidR="00B3338A" w:rsidP="00B3338A" w:rsidRDefault="00B3338A" w14:paraId="0D1772B6" w14:textId="5B969B1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xmlns:w10="urn:schemas-microsoft-com:office:word" anchorx="margin"/>
              </v:shape>
            </w:pict>
          </mc:Fallback>
        </mc:AlternateContent>
      </w:r>
    </w:p>
    <w:sectPr w:rsidR="0032573D" w:rsidSect="0033675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4D1B"/>
    <w:rsid w:val="00136E93"/>
    <w:rsid w:val="001C3968"/>
    <w:rsid w:val="001C3B09"/>
    <w:rsid w:val="001D6704"/>
    <w:rsid w:val="001E6A96"/>
    <w:rsid w:val="001E7AF2"/>
    <w:rsid w:val="00274AAC"/>
    <w:rsid w:val="00296EDE"/>
    <w:rsid w:val="002A28AD"/>
    <w:rsid w:val="002F259E"/>
    <w:rsid w:val="0032573D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673B12"/>
    <w:rsid w:val="00703757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020EA"/>
    <w:rsid w:val="00B23497"/>
    <w:rsid w:val="00B24E5E"/>
    <w:rsid w:val="00B3338A"/>
    <w:rsid w:val="00B85982"/>
    <w:rsid w:val="00BC1C13"/>
    <w:rsid w:val="00C010E9"/>
    <w:rsid w:val="00C33802"/>
    <w:rsid w:val="00C46DA0"/>
    <w:rsid w:val="00C7069B"/>
    <w:rsid w:val="00CE49C5"/>
    <w:rsid w:val="00CF284B"/>
    <w:rsid w:val="00D137E1"/>
    <w:rsid w:val="00D1388F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  <w:rsid w:val="0AE9611F"/>
    <w:rsid w:val="1F0F3D97"/>
    <w:rsid w:val="4B6D483A"/>
    <w:rsid w:val="50729B2A"/>
    <w:rsid w:val="7FF0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hyperlink" Target="https://commons.wikimedia.org/wiki/File:Thumbs_up_font_awesome.sv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6BC2A-F7A9-4D67-BAD7-C4BB9EE69E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5</cp:revision>
  <cp:lastPrinted>2019-06-10T12:24:00Z</cp:lastPrinted>
  <dcterms:created xsi:type="dcterms:W3CDTF">2019-07-09T07:27:00Z</dcterms:created>
  <dcterms:modified xsi:type="dcterms:W3CDTF">2020-06-18T09:31:49Z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