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6846A6CF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1: </w:t>
            </w:r>
            <w:r w:rsidR="00721DCB">
              <w:rPr>
                <w:b/>
                <w:sz w:val="24"/>
                <w:szCs w:val="24"/>
              </w:rPr>
              <w:t>Algebraic methods and proof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8F4B32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2D950C44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1a. </w:t>
            </w:r>
            <w:r w:rsidR="00566458">
              <w:rPr>
                <w:rFonts w:cstheme="minorHAnsi"/>
                <w:b/>
                <w:sz w:val="24"/>
              </w:rPr>
              <w:t>Proof</w:t>
            </w:r>
          </w:p>
        </w:tc>
        <w:tc>
          <w:tcPr>
            <w:tcW w:w="6564" w:type="dxa"/>
            <w:gridSpan w:val="3"/>
          </w:tcPr>
          <w:p w14:paraId="6211553F" w14:textId="0F81D71E" w:rsidR="008F4B32" w:rsidRPr="001C3B09" w:rsidRDefault="008F4B32" w:rsidP="008F4B3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55759">
              <w:rPr>
                <w:rFonts w:cstheme="minorHAnsi"/>
              </w:rPr>
              <w:t>understand that various types of proof can be used to give confirmation that previously learnt formulae are true, and have a sound mathematical basis;</w:t>
            </w:r>
          </w:p>
        </w:tc>
        <w:tc>
          <w:tcPr>
            <w:tcW w:w="726" w:type="dxa"/>
          </w:tcPr>
          <w:p w14:paraId="000DA362" w14:textId="3DC6C58D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F4B32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6E455B20" w:rsidR="008F4B32" w:rsidRPr="001C3B09" w:rsidRDefault="008F4B32" w:rsidP="008F4B3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55759">
              <w:rPr>
                <w:rFonts w:cstheme="minorHAnsi"/>
              </w:rPr>
              <w:t xml:space="preserve">understand that there are different types of proof and disproof (e.g. deduction and contradiction), and know when it is appropriate to use which </w:t>
            </w:r>
            <w:proofErr w:type="gramStart"/>
            <w:r w:rsidRPr="00755759">
              <w:rPr>
                <w:rFonts w:cstheme="minorHAnsi"/>
              </w:rPr>
              <w:t>particular method</w:t>
            </w:r>
            <w:proofErr w:type="gramEnd"/>
            <w:r w:rsidRPr="00755759">
              <w:rPr>
                <w:rFonts w:cstheme="minorHAnsi"/>
              </w:rPr>
              <w:t>;</w:t>
            </w:r>
          </w:p>
        </w:tc>
        <w:tc>
          <w:tcPr>
            <w:tcW w:w="726" w:type="dxa"/>
          </w:tcPr>
          <w:p w14:paraId="6232629A" w14:textId="0FC0279D" w:rsidR="008F4B32" w:rsidRPr="001C3B09" w:rsidRDefault="008F4B32" w:rsidP="008F4B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8F4B32" w:rsidRPr="001C3B09" w:rsidRDefault="008F4B32" w:rsidP="008F4B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8F4B32" w:rsidRPr="001C3B09" w:rsidRDefault="008F4B32" w:rsidP="008F4B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4B32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3E32F043" w:rsidR="008F4B32" w:rsidRPr="001C3B09" w:rsidRDefault="008F4B32" w:rsidP="008F4B3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55759">
              <w:rPr>
                <w:rFonts w:cstheme="minorHAnsi"/>
              </w:rPr>
              <w:t>be able to use an appropriate proof within other areas of the specification later in the course.</w:t>
            </w:r>
          </w:p>
        </w:tc>
        <w:tc>
          <w:tcPr>
            <w:tcW w:w="726" w:type="dxa"/>
          </w:tcPr>
          <w:p w14:paraId="0C4A4D02" w14:textId="77777777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8F4B32" w:rsidRPr="001C3B09" w:rsidRDefault="008F4B32" w:rsidP="008F4B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66458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610FDA03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1b. Simplifying algebraic fractions</w:t>
            </w:r>
          </w:p>
        </w:tc>
        <w:tc>
          <w:tcPr>
            <w:tcW w:w="6564" w:type="dxa"/>
            <w:gridSpan w:val="3"/>
          </w:tcPr>
          <w:p w14:paraId="1C7FE625" w14:textId="046ACADA" w:rsidR="00566458" w:rsidRPr="001C3B09" w:rsidRDefault="00566458" w:rsidP="005664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231A3">
              <w:rPr>
                <w:rFonts w:cstheme="minorHAnsi"/>
              </w:rPr>
              <w:t>be able to add, subtract, multiply and divide algebraic fractions;</w:t>
            </w:r>
          </w:p>
        </w:tc>
        <w:tc>
          <w:tcPr>
            <w:tcW w:w="726" w:type="dxa"/>
          </w:tcPr>
          <w:p w14:paraId="71ACEA49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66458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3BF213C2" w:rsidR="00566458" w:rsidRPr="001C3B09" w:rsidRDefault="00566458" w:rsidP="005664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231A3">
              <w:rPr>
                <w:rFonts w:cstheme="minorHAnsi"/>
              </w:rPr>
              <w:t xml:space="preserve">know how to use the factor theorem to </w:t>
            </w:r>
            <w:proofErr w:type="gramStart"/>
            <w:r w:rsidRPr="001231A3">
              <w:rPr>
                <w:rFonts w:cstheme="minorHAnsi"/>
              </w:rPr>
              <w:t>shown</w:t>
            </w:r>
            <w:proofErr w:type="gramEnd"/>
            <w:r w:rsidRPr="001231A3">
              <w:rPr>
                <w:rFonts w:cstheme="minorHAnsi"/>
              </w:rPr>
              <w:t xml:space="preserve"> a linear expression of the form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a+bx</m:t>
                  </m:r>
                </m:e>
              </m:d>
            </m:oMath>
            <w:r w:rsidRPr="001231A3">
              <w:rPr>
                <w:rFonts w:cstheme="minorHAnsi"/>
              </w:rPr>
              <w:t xml:space="preserve"> is a factor of a polynomial;</w:t>
            </w:r>
          </w:p>
        </w:tc>
        <w:tc>
          <w:tcPr>
            <w:tcW w:w="726" w:type="dxa"/>
          </w:tcPr>
          <w:p w14:paraId="22D95E26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66458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2A6205DB" w:rsidR="00566458" w:rsidRPr="001C3B09" w:rsidRDefault="00566458" w:rsidP="005664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231A3">
              <w:rPr>
                <w:rFonts w:cstheme="minorHAnsi"/>
              </w:rPr>
              <w:t xml:space="preserve">know how to use the factor theorem for divisors of the form </w:t>
            </w:r>
            <m:oMath>
              <m:r>
                <w:rPr>
                  <w:rFonts w:ascii="Cambria Math" w:hAnsi="Cambria Math" w:cstheme="minorHAnsi"/>
                </w:rPr>
                <m:t>(a+bx)</m:t>
              </m:r>
            </m:oMath>
            <w:r w:rsidRPr="001231A3">
              <w:rPr>
                <w:rFonts w:cstheme="minorHAnsi"/>
              </w:rPr>
              <w:t>;</w:t>
            </w:r>
          </w:p>
        </w:tc>
        <w:tc>
          <w:tcPr>
            <w:tcW w:w="726" w:type="dxa"/>
          </w:tcPr>
          <w:p w14:paraId="2841CC8A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66458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1EED870F" w:rsidR="00566458" w:rsidRPr="001C3B09" w:rsidRDefault="00566458" w:rsidP="005664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231A3">
              <w:rPr>
                <w:rFonts w:cstheme="minorHAnsi"/>
              </w:rPr>
              <w:t>be able to simplify algebraic fractions by fully factorising polynomials up to cubic.</w:t>
            </w:r>
          </w:p>
        </w:tc>
        <w:tc>
          <w:tcPr>
            <w:tcW w:w="726" w:type="dxa"/>
          </w:tcPr>
          <w:p w14:paraId="57081703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66458" w:rsidRPr="001C3B09" w14:paraId="6444EE8F" w14:textId="77777777" w:rsidTr="002D05ED">
        <w:trPr>
          <w:trHeight w:val="225"/>
        </w:trPr>
        <w:tc>
          <w:tcPr>
            <w:tcW w:w="1980" w:type="dxa"/>
            <w:vMerge w:val="restart"/>
          </w:tcPr>
          <w:p w14:paraId="7CCC4B4F" w14:textId="7D6B031D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1c. Partial fractions</w:t>
            </w:r>
          </w:p>
        </w:tc>
        <w:tc>
          <w:tcPr>
            <w:tcW w:w="6564" w:type="dxa"/>
            <w:gridSpan w:val="3"/>
          </w:tcPr>
          <w:p w14:paraId="44721920" w14:textId="5E9B5577" w:rsidR="00566458" w:rsidRPr="001C3B09" w:rsidRDefault="00566458" w:rsidP="005664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37AF8">
              <w:rPr>
                <w:rFonts w:cstheme="minorHAnsi"/>
              </w:rPr>
              <w:t>be able to split a proper fraction into partial fractions;</w:t>
            </w:r>
          </w:p>
        </w:tc>
        <w:tc>
          <w:tcPr>
            <w:tcW w:w="726" w:type="dxa"/>
          </w:tcPr>
          <w:p w14:paraId="683AAB2D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C5D349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476D9D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66458" w:rsidRPr="001C3B09" w14:paraId="39B817CD" w14:textId="77777777" w:rsidTr="002D05ED">
        <w:trPr>
          <w:trHeight w:val="225"/>
        </w:trPr>
        <w:tc>
          <w:tcPr>
            <w:tcW w:w="1980" w:type="dxa"/>
            <w:vMerge/>
          </w:tcPr>
          <w:p w14:paraId="4380CB93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F0EA842" w14:textId="66279A37" w:rsidR="00566458" w:rsidRPr="001C3B09" w:rsidRDefault="00566458" w:rsidP="005664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37AF8">
              <w:rPr>
                <w:rFonts w:cstheme="minorHAnsi"/>
              </w:rPr>
              <w:t>be able to split an improper fraction into partial fractions, dividing the numerator by the denominator (by polynomial long division or by inspection).</w:t>
            </w:r>
          </w:p>
        </w:tc>
        <w:tc>
          <w:tcPr>
            <w:tcW w:w="726" w:type="dxa"/>
          </w:tcPr>
          <w:p w14:paraId="3059CE5C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4E65DC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A65281" w14:textId="77777777" w:rsidR="00566458" w:rsidRPr="001C3B09" w:rsidRDefault="00566458" w:rsidP="005664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A25CF3E" w:rsidR="0032573D" w:rsidRDefault="00085A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29472" wp14:editId="271EB05B">
                <wp:simplePos x="0" y="0"/>
                <wp:positionH relativeFrom="margin">
                  <wp:align>left</wp:align>
                </wp:positionH>
                <wp:positionV relativeFrom="paragraph">
                  <wp:posOffset>5952490</wp:posOffset>
                </wp:positionV>
                <wp:extent cx="6734175" cy="1943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F07E3" w14:textId="77777777" w:rsidR="00085A4B" w:rsidRPr="008F4B32" w:rsidRDefault="00085A4B" w:rsidP="00085A4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E7E5D8B" w14:textId="435777D3" w:rsidR="00085A4B" w:rsidRPr="008F4B32" w:rsidRDefault="00085A4B" w:rsidP="00085A4B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 w:rsidR="008F4B32"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You will learn how to structure different types of mathematical proof, how to simplify algebraic fractions and how to decompose rational functions into partial fractions. </w:t>
                            </w: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D75B50" w14:textId="1FD29E01" w:rsidR="00085A4B" w:rsidRPr="008F4B32" w:rsidRDefault="00085A4B" w:rsidP="00085A4B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 w:rsidR="008F4B32" w:rsidRPr="008F4B32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 how to</w:t>
                            </w:r>
                            <w:r w:rsidR="008F4B32" w:rsidRPr="008F4B32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apply </w:t>
                            </w:r>
                            <w:r w:rsidR="008F4B32" w:rsidRPr="008F4B32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 w:rsidR="008F4B32" w:rsidRPr="008F4B32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of given proofs to unfamiliar proofs and to apply</w:t>
                            </w:r>
                            <w:r w:rsidR="008F4B32" w:rsidRPr="008F4B32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your</w:t>
                            </w:r>
                            <w:r w:rsidR="008F4B32" w:rsidRPr="008F4B32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of proof structures to formulate proofs in other mathematical disciplines such as trigonometry.  </w:t>
                            </w:r>
                          </w:p>
                          <w:p w14:paraId="11F809BE" w14:textId="62AB80D8" w:rsidR="00085A4B" w:rsidRPr="008F4B32" w:rsidRDefault="00085A4B" w:rsidP="00085A4B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You will be able to solve a variety of routine and non-routine problems, by combining several Mathematical skill sets. </w:t>
                            </w:r>
                            <w:r w:rsidR="008F4B32" w:rsidRPr="008F4B32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For example, by making the link between decomposed partial fractions and the graphs of their functions, identifying which values might make the denominator zero.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94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68.7pt;width:530.25pt;height:15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" fillcolor="white [3201]" strokeweight="1.5pt">
                <v:textbox>
                  <w:txbxContent>
                    <w:p w14:paraId="311F07E3" w14:textId="77777777" w:rsidR="00085A4B" w:rsidRPr="008F4B32" w:rsidRDefault="00085A4B" w:rsidP="00085A4B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E7E5D8B" w14:textId="435777D3" w:rsidR="00085A4B" w:rsidRPr="008F4B32" w:rsidRDefault="00085A4B" w:rsidP="00085A4B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 w:rsidR="008F4B32"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You will learn how to structure different types of mathematical proof, how to simplify algebraic fractions and how to decompose rational functions into partial fractions. </w:t>
                      </w: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D75B50" w14:textId="1FD29E01" w:rsidR="00085A4B" w:rsidRPr="008F4B32" w:rsidRDefault="00085A4B" w:rsidP="00085A4B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 w:rsidR="008F4B32" w:rsidRPr="008F4B32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 how to</w:t>
                      </w:r>
                      <w:r w:rsidR="008F4B32" w:rsidRPr="008F4B32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apply </w:t>
                      </w:r>
                      <w:r w:rsidR="008F4B32" w:rsidRPr="008F4B32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 w:rsidR="008F4B32" w:rsidRPr="008F4B32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of given proofs to unfamiliar proofs and to apply</w:t>
                      </w:r>
                      <w:r w:rsidR="008F4B32" w:rsidRPr="008F4B32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your</w:t>
                      </w:r>
                      <w:r w:rsidR="008F4B32" w:rsidRPr="008F4B32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of proof structures to formulate proofs in other mathematical disciplines such as trigonometry.  </w:t>
                      </w:r>
                    </w:p>
                    <w:p w14:paraId="11F809BE" w14:textId="62AB80D8" w:rsidR="00085A4B" w:rsidRPr="008F4B32" w:rsidRDefault="00085A4B" w:rsidP="00085A4B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You will be able to solve a variety of routine and non-routine problems, by combining several Mathematical skill sets. </w:t>
                      </w:r>
                      <w:r w:rsidR="008F4B32" w:rsidRPr="008F4B32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For example, by making the link between decomposed partial fractions and the graphs of their functions, identifying which values might make the denominator zero.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5A4B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66458"/>
    <w:rsid w:val="00584245"/>
    <w:rsid w:val="00642A9E"/>
    <w:rsid w:val="00703757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33802"/>
    <w:rsid w:val="00C46DA0"/>
    <w:rsid w:val="00C7069B"/>
    <w:rsid w:val="00CE49C5"/>
    <w:rsid w:val="00CF284B"/>
    <w:rsid w:val="00D137E1"/>
    <w:rsid w:val="00D1388F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69E93-C735-4D86-A438-2784054087FC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2020-06-11T14:27:00Z</dcterms:created>
  <dcterms:modified xsi:type="dcterms:W3CDTF">2020-06-12T09:32:00Z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