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76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82"/>
        <w:gridCol w:w="2475"/>
        <w:gridCol w:w="1707"/>
        <w:gridCol w:w="726"/>
        <w:gridCol w:w="609"/>
        <w:gridCol w:w="711"/>
      </w:tblGrid>
      <w:tr w:rsidR="000F0257" w:rsidRPr="001C3B09" w14:paraId="3F929C82" w14:textId="03B0101A" w:rsidTr="007F4F52">
        <w:trPr>
          <w:trHeight w:val="360"/>
        </w:trPr>
        <w:tc>
          <w:tcPr>
            <w:tcW w:w="1980" w:type="dxa"/>
            <w:vAlign w:val="center"/>
          </w:tcPr>
          <w:p w14:paraId="28B4EA70" w14:textId="6F3245BF" w:rsidR="00E85B48" w:rsidRPr="001C3B09" w:rsidRDefault="00C33802" w:rsidP="00E90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721DCB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pure unit </w:t>
            </w:r>
            <w:r w:rsidR="002D061C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2D061C">
              <w:rPr>
                <w:b/>
                <w:sz w:val="24"/>
                <w:szCs w:val="24"/>
              </w:rPr>
              <w:t>The binomial expansion</w:t>
            </w:r>
          </w:p>
        </w:tc>
        <w:tc>
          <w:tcPr>
            <w:tcW w:w="8610" w:type="dxa"/>
            <w:gridSpan w:val="6"/>
            <w:shd w:val="clear" w:color="auto" w:fill="000000" w:themeFill="text1"/>
            <w:vAlign w:val="center"/>
          </w:tcPr>
          <w:p w14:paraId="14666195" w14:textId="65258F77" w:rsidR="00E85B48" w:rsidRPr="001C3B09" w:rsidRDefault="001E7AF2" w:rsidP="00E904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3B09">
              <w:rPr>
                <w:b/>
                <w:color w:val="FFFFFF" w:themeColor="background1"/>
                <w:sz w:val="24"/>
                <w:szCs w:val="24"/>
              </w:rPr>
              <w:t>Road Map</w:t>
            </w:r>
          </w:p>
        </w:tc>
      </w:tr>
      <w:tr w:rsidR="000B079A" w:rsidRPr="001C3B09" w14:paraId="06C61167" w14:textId="32188040" w:rsidTr="007F4F52">
        <w:trPr>
          <w:trHeight w:val="324"/>
        </w:trPr>
        <w:tc>
          <w:tcPr>
            <w:tcW w:w="1980" w:type="dxa"/>
            <w:vMerge w:val="restart"/>
          </w:tcPr>
          <w:p w14:paraId="72887347" w14:textId="681A7D65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  <w:r w:rsidRPr="001C3B09">
              <w:rPr>
                <w:sz w:val="24"/>
                <w:szCs w:val="24"/>
              </w:rPr>
              <w:t xml:space="preserve">In this unit you will </w:t>
            </w:r>
            <w:r w:rsidR="00A772B1" w:rsidRPr="001C3B09">
              <w:rPr>
                <w:sz w:val="24"/>
                <w:szCs w:val="24"/>
              </w:rPr>
              <w:t xml:space="preserve">learn about </w:t>
            </w:r>
            <w:r w:rsidR="008F4B32">
              <w:rPr>
                <w:sz w:val="24"/>
                <w:szCs w:val="24"/>
              </w:rPr>
              <w:t>pure maths</w:t>
            </w:r>
            <w:r w:rsidR="00A772B1" w:rsidRPr="001C3B09">
              <w:rPr>
                <w:sz w:val="24"/>
                <w:szCs w:val="24"/>
              </w:rPr>
              <w:t>.</w:t>
            </w:r>
            <w:r w:rsidRPr="001C3B09">
              <w:rPr>
                <w:sz w:val="24"/>
                <w:szCs w:val="24"/>
              </w:rPr>
              <w:t xml:space="preserve"> The aims are as follows:</w:t>
            </w:r>
          </w:p>
          <w:p w14:paraId="4F2EF46A" w14:textId="266CD5A4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  <w:r w:rsidRPr="001C3B09">
              <w:rPr>
                <w:b/>
                <w:sz w:val="24"/>
                <w:szCs w:val="24"/>
              </w:rPr>
              <w:t>LG1</w:t>
            </w:r>
            <w:r w:rsidRPr="001C3B09">
              <w:rPr>
                <w:sz w:val="24"/>
                <w:szCs w:val="24"/>
              </w:rPr>
              <w:t>: Knowledge</w:t>
            </w:r>
          </w:p>
          <w:p w14:paraId="384CC0B5" w14:textId="6E7B450D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  <w:r w:rsidRPr="001C3B09">
              <w:rPr>
                <w:b/>
                <w:sz w:val="24"/>
                <w:szCs w:val="24"/>
              </w:rPr>
              <w:t>LG2</w:t>
            </w:r>
            <w:r w:rsidRPr="001C3B09">
              <w:rPr>
                <w:sz w:val="24"/>
                <w:szCs w:val="24"/>
              </w:rPr>
              <w:t>: Application</w:t>
            </w:r>
          </w:p>
          <w:p w14:paraId="49C0DC09" w14:textId="32861EEB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  <w:r w:rsidRPr="001C3B09">
              <w:rPr>
                <w:b/>
                <w:sz w:val="24"/>
                <w:szCs w:val="24"/>
              </w:rPr>
              <w:t>LG3</w:t>
            </w:r>
            <w:r w:rsidRPr="001C3B09">
              <w:rPr>
                <w:sz w:val="24"/>
                <w:szCs w:val="24"/>
              </w:rPr>
              <w:t>: Skills</w:t>
            </w:r>
          </w:p>
        </w:tc>
        <w:tc>
          <w:tcPr>
            <w:tcW w:w="2382" w:type="dxa"/>
          </w:tcPr>
          <w:p w14:paraId="6578C887" w14:textId="50EEA67F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  <w:r w:rsidRPr="001C3B09">
              <w:rPr>
                <w:sz w:val="24"/>
                <w:szCs w:val="24"/>
              </w:rPr>
              <w:t>Assessment Grades</w:t>
            </w:r>
          </w:p>
        </w:tc>
        <w:tc>
          <w:tcPr>
            <w:tcW w:w="2475" w:type="dxa"/>
          </w:tcPr>
          <w:p w14:paraId="5A99224F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53" w:type="dxa"/>
            <w:gridSpan w:val="4"/>
          </w:tcPr>
          <w:p w14:paraId="70FCE77F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</w:tr>
      <w:tr w:rsidR="000B079A" w:rsidRPr="001C3B09" w14:paraId="0684188D" w14:textId="7724BD5A" w:rsidTr="007F4F52">
        <w:trPr>
          <w:trHeight w:val="330"/>
        </w:trPr>
        <w:tc>
          <w:tcPr>
            <w:tcW w:w="1980" w:type="dxa"/>
            <w:vMerge/>
          </w:tcPr>
          <w:p w14:paraId="1DEC050A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2"/>
          </w:tcPr>
          <w:p w14:paraId="028A163F" w14:textId="55469138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53" w:type="dxa"/>
            <w:gridSpan w:val="4"/>
          </w:tcPr>
          <w:p w14:paraId="578114D0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</w:tr>
      <w:tr w:rsidR="000B079A" w:rsidRPr="001C3B09" w14:paraId="3843AE8E" w14:textId="3DEBBB0E" w:rsidTr="007F4F52">
        <w:trPr>
          <w:trHeight w:val="285"/>
        </w:trPr>
        <w:tc>
          <w:tcPr>
            <w:tcW w:w="1980" w:type="dxa"/>
            <w:vMerge/>
          </w:tcPr>
          <w:p w14:paraId="76F948BB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2"/>
          </w:tcPr>
          <w:p w14:paraId="546816E8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53" w:type="dxa"/>
            <w:gridSpan w:val="4"/>
          </w:tcPr>
          <w:p w14:paraId="1773D4AA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</w:tr>
      <w:tr w:rsidR="000B079A" w:rsidRPr="001C3B09" w14:paraId="28275D4C" w14:textId="0ED34976" w:rsidTr="007F4F52">
        <w:trPr>
          <w:trHeight w:val="255"/>
        </w:trPr>
        <w:tc>
          <w:tcPr>
            <w:tcW w:w="1980" w:type="dxa"/>
            <w:vMerge/>
          </w:tcPr>
          <w:p w14:paraId="613FB33D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2"/>
          </w:tcPr>
          <w:p w14:paraId="63CC1AA7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53" w:type="dxa"/>
            <w:gridSpan w:val="4"/>
          </w:tcPr>
          <w:p w14:paraId="5AB5F042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</w:tr>
      <w:tr w:rsidR="000B079A" w:rsidRPr="001C3B09" w14:paraId="5878E7ED" w14:textId="7AF594F8" w:rsidTr="007F4F52">
        <w:trPr>
          <w:trHeight w:val="270"/>
        </w:trPr>
        <w:tc>
          <w:tcPr>
            <w:tcW w:w="1980" w:type="dxa"/>
            <w:vMerge/>
          </w:tcPr>
          <w:p w14:paraId="098BF877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2"/>
          </w:tcPr>
          <w:p w14:paraId="59C793AB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53" w:type="dxa"/>
            <w:gridSpan w:val="4"/>
          </w:tcPr>
          <w:p w14:paraId="3A60DF50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</w:tr>
      <w:tr w:rsidR="000B079A" w:rsidRPr="001C3B09" w14:paraId="7C997B50" w14:textId="3642D52D" w:rsidTr="007F4F52">
        <w:trPr>
          <w:trHeight w:val="315"/>
        </w:trPr>
        <w:tc>
          <w:tcPr>
            <w:tcW w:w="1980" w:type="dxa"/>
            <w:vMerge/>
          </w:tcPr>
          <w:p w14:paraId="02EE26FE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2"/>
          </w:tcPr>
          <w:p w14:paraId="055A847E" w14:textId="77777777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53" w:type="dxa"/>
            <w:gridSpan w:val="4"/>
          </w:tcPr>
          <w:p w14:paraId="3CF8E794" w14:textId="2E0F3903" w:rsidR="000B079A" w:rsidRPr="001C3B09" w:rsidRDefault="000B079A" w:rsidP="00B24E5E">
            <w:pPr>
              <w:spacing w:after="0"/>
              <w:rPr>
                <w:sz w:val="24"/>
                <w:szCs w:val="24"/>
              </w:rPr>
            </w:pPr>
          </w:p>
        </w:tc>
      </w:tr>
      <w:tr w:rsidR="000B079A" w:rsidRPr="001C3B09" w14:paraId="6AAEE81C" w14:textId="77777777" w:rsidTr="007F4F52">
        <w:trPr>
          <w:trHeight w:val="62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7F3BC38" w14:textId="09FE23E1" w:rsidR="00CE49C5" w:rsidRPr="001C3B09" w:rsidRDefault="001E7AF2" w:rsidP="00E904C9">
            <w:pPr>
              <w:jc w:val="center"/>
              <w:rPr>
                <w:b/>
                <w:sz w:val="24"/>
                <w:szCs w:val="24"/>
              </w:rPr>
            </w:pPr>
            <w:r w:rsidRPr="001C3B09">
              <w:rPr>
                <w:b/>
                <w:sz w:val="24"/>
                <w:szCs w:val="24"/>
              </w:rPr>
              <w:t>Themes</w:t>
            </w:r>
          </w:p>
        </w:tc>
        <w:tc>
          <w:tcPr>
            <w:tcW w:w="6564" w:type="dxa"/>
            <w:gridSpan w:val="3"/>
            <w:shd w:val="clear" w:color="auto" w:fill="D9D9D9" w:themeFill="background1" w:themeFillShade="D9"/>
            <w:vAlign w:val="center"/>
          </w:tcPr>
          <w:p w14:paraId="6C88901A" w14:textId="66EB123D" w:rsidR="00CE49C5" w:rsidRPr="001C3B09" w:rsidRDefault="00831F97" w:rsidP="00E904C9">
            <w:pPr>
              <w:jc w:val="center"/>
              <w:rPr>
                <w:b/>
                <w:sz w:val="24"/>
                <w:szCs w:val="24"/>
              </w:rPr>
            </w:pPr>
            <w:r w:rsidRPr="001C3B09">
              <w:rPr>
                <w:b/>
                <w:sz w:val="24"/>
                <w:szCs w:val="24"/>
              </w:rPr>
              <w:t>Learning Goals/Outcomes</w:t>
            </w:r>
            <w:r w:rsidR="000A4ADB" w:rsidRPr="001C3B09">
              <w:rPr>
                <w:b/>
                <w:sz w:val="24"/>
                <w:szCs w:val="24"/>
              </w:rPr>
              <w:t>/</w:t>
            </w:r>
            <w:r w:rsidR="00584245" w:rsidRPr="001C3B09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726" w:type="dxa"/>
          </w:tcPr>
          <w:p w14:paraId="4E0D1487" w14:textId="16DB7890" w:rsidR="00CE49C5" w:rsidRPr="001C3B09" w:rsidRDefault="003459B1" w:rsidP="00B24E5E">
            <w:pPr>
              <w:rPr>
                <w:sz w:val="24"/>
                <w:szCs w:val="24"/>
              </w:rPr>
            </w:pPr>
            <w:r w:rsidRPr="001C3B09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CACE362" wp14:editId="0BA637C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181610</wp:posOffset>
                      </wp:positionV>
                      <wp:extent cx="1162050" cy="336549"/>
                      <wp:effectExtent l="0" t="0" r="0" b="698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050" cy="336549"/>
                                <a:chOff x="0" y="0"/>
                                <a:chExt cx="1162050" cy="3365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325" cy="242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847725" y="38100"/>
                                  <a:ext cx="314325" cy="242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467678" y="58102"/>
                                  <a:ext cx="314325" cy="242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BEDE87" id="Group 8" o:spid="_x0000_s1026" style="position:absolute;margin-left:1.4pt;margin-top:14.3pt;width:91.5pt;height:26.5pt;z-index:251657216" coordsize="11620,3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3143;height: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">
                        <v:imagedata r:id="rId10" o:title=""/>
                      </v:shape>
                      <v:shape id="Picture 4" o:spid="_x0000_s1028" type="#_x0000_t75" style="position:absolute;left:8477;top:381;width:3143;height:242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">
                        <v:imagedata r:id="rId10" o:title=""/>
                      </v:shape>
                      <v:shape id="Picture 5" o:spid="_x0000_s1029" type="#_x0000_t75" style="position:absolute;left:4676;top:581;width:3143;height:24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609" w:type="dxa"/>
          </w:tcPr>
          <w:p w14:paraId="66D96C36" w14:textId="1B7552FB" w:rsidR="00CE49C5" w:rsidRPr="001C3B09" w:rsidRDefault="00CE49C5" w:rsidP="00B24E5E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3E194668" w14:textId="793E4BF7" w:rsidR="00CE49C5" w:rsidRPr="001C3B09" w:rsidRDefault="00CE49C5" w:rsidP="00B24E5E">
            <w:pPr>
              <w:rPr>
                <w:sz w:val="24"/>
                <w:szCs w:val="24"/>
              </w:rPr>
            </w:pPr>
          </w:p>
        </w:tc>
      </w:tr>
      <w:tr w:rsidR="002D061C" w:rsidRPr="001C3B09" w14:paraId="58E06230" w14:textId="360435D8" w:rsidTr="007F4F52">
        <w:trPr>
          <w:trHeight w:val="210"/>
        </w:trPr>
        <w:tc>
          <w:tcPr>
            <w:tcW w:w="1980" w:type="dxa"/>
            <w:vMerge w:val="restart"/>
          </w:tcPr>
          <w:p w14:paraId="302B90F3" w14:textId="77777777" w:rsidR="002D061C" w:rsidRDefault="002D061C" w:rsidP="002D061C">
            <w:pPr>
              <w:spacing w:after="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4a. </w:t>
            </w:r>
            <w:r w:rsidRPr="00A5516E">
              <w:rPr>
                <w:rFonts w:cstheme="minorHAnsi"/>
                <w:b/>
                <w:sz w:val="24"/>
              </w:rPr>
              <w:t xml:space="preserve"> </w:t>
            </w:r>
            <w:r w:rsidRPr="00A5516E">
              <w:rPr>
                <w:rFonts w:cstheme="minorHAnsi"/>
                <w:b/>
                <w:sz w:val="24"/>
              </w:rPr>
              <w:t xml:space="preserve">Expanding </w:t>
            </w:r>
          </w:p>
          <w:p w14:paraId="59E8F3DE" w14:textId="1F703EF2" w:rsidR="002D061C" w:rsidRPr="001C3B09" w:rsidRDefault="002D061C" w:rsidP="002D06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516E">
              <w:rPr>
                <w:rFonts w:cstheme="minorHAnsi"/>
                <w:b/>
                <w:sz w:val="24"/>
              </w:rPr>
              <w:t>(</w:t>
            </w:r>
            <w:r w:rsidRPr="00A5516E">
              <w:rPr>
                <w:rFonts w:cstheme="minorHAnsi"/>
                <w:b/>
                <w:i/>
                <w:sz w:val="24"/>
              </w:rPr>
              <w:t>a</w:t>
            </w:r>
            <w:r w:rsidRPr="00A5516E">
              <w:rPr>
                <w:rFonts w:cstheme="minorHAnsi"/>
                <w:b/>
                <w:sz w:val="24"/>
              </w:rPr>
              <w:t xml:space="preserve"> + </w:t>
            </w:r>
            <w:proofErr w:type="spellStart"/>
            <w:proofErr w:type="gramStart"/>
            <w:r w:rsidRPr="00A5516E">
              <w:rPr>
                <w:rFonts w:cstheme="minorHAnsi"/>
                <w:b/>
                <w:i/>
                <w:sz w:val="24"/>
              </w:rPr>
              <w:t>bx</w:t>
            </w:r>
            <w:proofErr w:type="spellEnd"/>
            <w:r w:rsidRPr="00A5516E">
              <w:rPr>
                <w:rFonts w:cstheme="minorHAnsi"/>
                <w:b/>
                <w:sz w:val="24"/>
              </w:rPr>
              <w:t>)</w:t>
            </w:r>
            <w:r w:rsidRPr="00A5516E">
              <w:rPr>
                <w:rFonts w:cstheme="minorHAnsi"/>
                <w:b/>
                <w:i/>
                <w:sz w:val="24"/>
                <w:vertAlign w:val="superscript"/>
              </w:rPr>
              <w:t>n</w:t>
            </w:r>
            <w:proofErr w:type="gramEnd"/>
            <w:r w:rsidRPr="00A5516E">
              <w:rPr>
                <w:rFonts w:cstheme="minorHAnsi"/>
                <w:b/>
                <w:sz w:val="24"/>
              </w:rPr>
              <w:t xml:space="preserve">  for rational </w:t>
            </w:r>
            <w:r w:rsidRPr="00A5516E">
              <w:rPr>
                <w:rFonts w:cstheme="minorHAnsi"/>
                <w:b/>
                <w:i/>
                <w:sz w:val="24"/>
              </w:rPr>
              <w:t>n</w:t>
            </w:r>
            <w:r w:rsidRPr="00A5516E">
              <w:rPr>
                <w:rFonts w:cstheme="minorHAnsi"/>
                <w:b/>
                <w:sz w:val="24"/>
              </w:rPr>
              <w:t>; knowledge of range of validity</w:t>
            </w:r>
          </w:p>
        </w:tc>
        <w:tc>
          <w:tcPr>
            <w:tcW w:w="6564" w:type="dxa"/>
            <w:gridSpan w:val="3"/>
          </w:tcPr>
          <w:p w14:paraId="6211553F" w14:textId="48F85991" w:rsidR="002D061C" w:rsidRPr="001C3B09" w:rsidRDefault="002D061C" w:rsidP="002D061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C6455">
              <w:rPr>
                <w:rFonts w:cstheme="minorHAnsi"/>
              </w:rPr>
              <w:t xml:space="preserve">be able to find the binomial expansion of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(1-x)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 xml:space="preserve">-1 </m:t>
                  </m:r>
                </m:sup>
              </m:sSup>
            </m:oMath>
            <w:r w:rsidRPr="00DC6455">
              <w:rPr>
                <w:rFonts w:cstheme="minorHAnsi"/>
              </w:rPr>
              <w:t xml:space="preserve"> for rational values of </w:t>
            </w:r>
            <w:r w:rsidRPr="00DC6455">
              <w:rPr>
                <w:rFonts w:cstheme="minorHAnsi"/>
                <w:i/>
              </w:rPr>
              <w:t>n</w:t>
            </w:r>
            <w:r w:rsidRPr="00DC6455">
              <w:rPr>
                <w:rFonts w:cstheme="minorHAnsi"/>
              </w:rPr>
              <w:t xml:space="preserve"> and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&lt;1</m:t>
              </m:r>
            </m:oMath>
            <w:r w:rsidRPr="00DC6455">
              <w:rPr>
                <w:rFonts w:cstheme="minorHAnsi"/>
              </w:rPr>
              <w:t>;</w:t>
            </w:r>
          </w:p>
        </w:tc>
        <w:tc>
          <w:tcPr>
            <w:tcW w:w="726" w:type="dxa"/>
          </w:tcPr>
          <w:p w14:paraId="000DA362" w14:textId="3DC6C58D" w:rsidR="002D061C" w:rsidRPr="001C3B09" w:rsidRDefault="002D061C" w:rsidP="002D061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dxa"/>
          </w:tcPr>
          <w:p w14:paraId="1E5DF3EC" w14:textId="032C2859" w:rsidR="002D061C" w:rsidRPr="001C3B09" w:rsidRDefault="002D061C" w:rsidP="002D061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1" w:type="dxa"/>
          </w:tcPr>
          <w:p w14:paraId="5A927ACE" w14:textId="30C6C78F" w:rsidR="002D061C" w:rsidRPr="001C3B09" w:rsidRDefault="002D061C" w:rsidP="002D061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2D061C" w:rsidRPr="001C3B09" w14:paraId="6905CFC4" w14:textId="77777777" w:rsidTr="007F4F52">
        <w:trPr>
          <w:trHeight w:val="225"/>
        </w:trPr>
        <w:tc>
          <w:tcPr>
            <w:tcW w:w="1980" w:type="dxa"/>
            <w:vMerge/>
          </w:tcPr>
          <w:p w14:paraId="498DDBB4" w14:textId="0BFED127" w:rsidR="002D061C" w:rsidRPr="001C3B09" w:rsidRDefault="002D061C" w:rsidP="002D061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4" w:type="dxa"/>
            <w:gridSpan w:val="3"/>
          </w:tcPr>
          <w:p w14:paraId="41477595" w14:textId="2463DE3D" w:rsidR="002D061C" w:rsidRPr="001C3B09" w:rsidRDefault="002D061C" w:rsidP="002D061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C6455">
              <w:rPr>
                <w:rFonts w:cstheme="minorHAnsi"/>
              </w:rPr>
              <w:t xml:space="preserve">be able to find the binomial expansion of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(1+x)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 xml:space="preserve">n </m:t>
                  </m:r>
                </m:sup>
              </m:sSup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DC6455">
              <w:rPr>
                <w:rFonts w:cstheme="minorHAnsi"/>
              </w:rPr>
              <w:t xml:space="preserve">for rational values of </w:t>
            </w:r>
            <w:r w:rsidRPr="00DC6455">
              <w:rPr>
                <w:rFonts w:cstheme="minorHAnsi"/>
                <w:i/>
              </w:rPr>
              <w:t>n</w:t>
            </w:r>
            <w:r w:rsidRPr="00DC6455">
              <w:rPr>
                <w:rFonts w:cstheme="minorHAnsi"/>
              </w:rPr>
              <w:t xml:space="preserve"> and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&lt;1</m:t>
              </m:r>
            </m:oMath>
            <w:r w:rsidRPr="00DC6455">
              <w:rPr>
                <w:rFonts w:cstheme="minorHAnsi"/>
              </w:rPr>
              <w:t>;</w:t>
            </w:r>
          </w:p>
        </w:tc>
        <w:tc>
          <w:tcPr>
            <w:tcW w:w="726" w:type="dxa"/>
          </w:tcPr>
          <w:p w14:paraId="6232629A" w14:textId="0FC0279D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dxa"/>
          </w:tcPr>
          <w:p w14:paraId="41FDA276" w14:textId="2F5D9242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1" w:type="dxa"/>
          </w:tcPr>
          <w:p w14:paraId="3A4E4DA7" w14:textId="33343823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61C" w:rsidRPr="001C3B09" w14:paraId="7E3F1700" w14:textId="77777777" w:rsidTr="007F4F52">
        <w:trPr>
          <w:trHeight w:val="225"/>
        </w:trPr>
        <w:tc>
          <w:tcPr>
            <w:tcW w:w="1980" w:type="dxa"/>
            <w:vMerge/>
          </w:tcPr>
          <w:p w14:paraId="31140141" w14:textId="77777777" w:rsidR="002D061C" w:rsidRPr="001C3B09" w:rsidRDefault="002D061C" w:rsidP="002D061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4" w:type="dxa"/>
            <w:gridSpan w:val="3"/>
          </w:tcPr>
          <w:p w14:paraId="6780E9CF" w14:textId="2324BBA9" w:rsidR="002D061C" w:rsidRPr="00A707EC" w:rsidRDefault="002D061C" w:rsidP="002D061C">
            <w:pPr>
              <w:spacing w:after="0" w:line="240" w:lineRule="auto"/>
              <w:jc w:val="both"/>
              <w:rPr>
                <w:rFonts w:cstheme="minorHAnsi"/>
              </w:rPr>
            </w:pPr>
            <w:r w:rsidRPr="00DC6455">
              <w:rPr>
                <w:rFonts w:cstheme="minorHAnsi"/>
              </w:rPr>
              <w:t xml:space="preserve">be able to find the binomial expansion of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(1+bx)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 xml:space="preserve">n </m:t>
                  </m:r>
                </m:sup>
              </m:sSup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DC6455">
              <w:rPr>
                <w:rFonts w:cstheme="minorHAnsi"/>
              </w:rPr>
              <w:t xml:space="preserve">for rational values of </w:t>
            </w:r>
            <w:r w:rsidRPr="00DC6455">
              <w:rPr>
                <w:rFonts w:cstheme="minorHAnsi"/>
                <w:i/>
              </w:rPr>
              <w:t>n</w:t>
            </w:r>
            <w:r w:rsidRPr="00DC6455">
              <w:rPr>
                <w:rFonts w:cstheme="minorHAnsi"/>
              </w:rPr>
              <w:t xml:space="preserve"> and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b</m:t>
                      </m:r>
                    </m:e>
                  </m:d>
                </m:den>
              </m:f>
            </m:oMath>
            <w:r w:rsidRPr="00DC6455">
              <w:rPr>
                <w:rFonts w:cstheme="minorHAnsi"/>
              </w:rPr>
              <w:t>;</w:t>
            </w:r>
          </w:p>
        </w:tc>
        <w:tc>
          <w:tcPr>
            <w:tcW w:w="726" w:type="dxa"/>
          </w:tcPr>
          <w:p w14:paraId="5796AA2D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dxa"/>
          </w:tcPr>
          <w:p w14:paraId="4A0B637A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1" w:type="dxa"/>
          </w:tcPr>
          <w:p w14:paraId="31F42513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61C" w:rsidRPr="001C3B09" w14:paraId="5EFFB7E0" w14:textId="77777777" w:rsidTr="007F4F52">
        <w:trPr>
          <w:trHeight w:val="225"/>
        </w:trPr>
        <w:tc>
          <w:tcPr>
            <w:tcW w:w="1980" w:type="dxa"/>
            <w:vMerge/>
          </w:tcPr>
          <w:p w14:paraId="0AF64B8C" w14:textId="77777777" w:rsidR="002D061C" w:rsidRPr="001C3B09" w:rsidRDefault="002D061C" w:rsidP="002D061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4" w:type="dxa"/>
            <w:gridSpan w:val="3"/>
          </w:tcPr>
          <w:p w14:paraId="25BCE911" w14:textId="59382D21" w:rsidR="002D061C" w:rsidRPr="00A707EC" w:rsidRDefault="002D061C" w:rsidP="002D061C">
            <w:pPr>
              <w:spacing w:after="0" w:line="240" w:lineRule="auto"/>
              <w:jc w:val="both"/>
              <w:rPr>
                <w:rFonts w:cstheme="minorHAnsi"/>
              </w:rPr>
            </w:pPr>
            <w:r w:rsidRPr="00DC6455">
              <w:rPr>
                <w:rFonts w:cstheme="minorHAnsi"/>
              </w:rPr>
              <w:t xml:space="preserve">be able to find the binomial expansion of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(a+x)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 xml:space="preserve">n </m:t>
                  </m:r>
                </m:sup>
              </m:sSup>
            </m:oMath>
            <w:r w:rsidRPr="00DC6455">
              <w:rPr>
                <w:rFonts w:cstheme="minorHAnsi"/>
              </w:rPr>
              <w:t xml:space="preserve"> for rational values of</w:t>
            </w:r>
            <w:r w:rsidRPr="00DC6455">
              <w:rPr>
                <w:rFonts w:cstheme="minorHAnsi"/>
                <w:i/>
              </w:rPr>
              <w:t xml:space="preserve"> n</w:t>
            </w:r>
            <w:r w:rsidRPr="00DC6455">
              <w:rPr>
                <w:rFonts w:cstheme="minorHAnsi"/>
              </w:rPr>
              <w:t xml:space="preserve"> and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&lt;a</m:t>
              </m:r>
            </m:oMath>
            <w:r w:rsidRPr="00DC6455">
              <w:rPr>
                <w:rFonts w:cstheme="minorHAnsi"/>
              </w:rPr>
              <w:t>;</w:t>
            </w:r>
          </w:p>
        </w:tc>
        <w:tc>
          <w:tcPr>
            <w:tcW w:w="726" w:type="dxa"/>
          </w:tcPr>
          <w:p w14:paraId="5B45F549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dxa"/>
          </w:tcPr>
          <w:p w14:paraId="25DFCFA2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1" w:type="dxa"/>
          </w:tcPr>
          <w:p w14:paraId="162D32BA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61C" w:rsidRPr="001C3B09" w14:paraId="57103380" w14:textId="77777777" w:rsidTr="007F4F52">
        <w:trPr>
          <w:trHeight w:val="225"/>
        </w:trPr>
        <w:tc>
          <w:tcPr>
            <w:tcW w:w="1980" w:type="dxa"/>
            <w:vMerge/>
          </w:tcPr>
          <w:p w14:paraId="133DEFF5" w14:textId="77777777" w:rsidR="002D061C" w:rsidRPr="001C3B09" w:rsidRDefault="002D061C" w:rsidP="002D061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4" w:type="dxa"/>
            <w:gridSpan w:val="3"/>
          </w:tcPr>
          <w:p w14:paraId="4A2B4CD7" w14:textId="2F785AE9" w:rsidR="002D061C" w:rsidRPr="00A707EC" w:rsidRDefault="002D061C" w:rsidP="002D061C">
            <w:pPr>
              <w:spacing w:after="0" w:line="240" w:lineRule="auto"/>
              <w:jc w:val="both"/>
              <w:rPr>
                <w:rFonts w:cstheme="minorHAnsi"/>
              </w:rPr>
            </w:pPr>
            <w:r w:rsidRPr="00DC6455">
              <w:rPr>
                <w:rFonts w:cstheme="minorHAnsi"/>
              </w:rPr>
              <w:t>be able to</w:t>
            </w:r>
            <w:r w:rsidRPr="00DC6455">
              <w:rPr>
                <w:rFonts w:eastAsia="Arial" w:cstheme="minorHAnsi"/>
                <w:bCs/>
                <w:spacing w:val="1"/>
              </w:rPr>
              <w:t xml:space="preserve"> find the b</w:t>
            </w:r>
            <w:r w:rsidRPr="00DC6455">
              <w:rPr>
                <w:rFonts w:eastAsia="Arial" w:cstheme="minorHAnsi"/>
                <w:bCs/>
                <w:spacing w:val="2"/>
              </w:rPr>
              <w:t>in</w:t>
            </w:r>
            <w:r w:rsidRPr="00DC6455">
              <w:rPr>
                <w:rFonts w:eastAsia="Arial" w:cstheme="minorHAnsi"/>
                <w:bCs/>
                <w:spacing w:val="1"/>
              </w:rPr>
              <w:t>o</w:t>
            </w:r>
            <w:r w:rsidRPr="00DC6455">
              <w:rPr>
                <w:rFonts w:eastAsia="Arial" w:cstheme="minorHAnsi"/>
                <w:bCs/>
                <w:spacing w:val="2"/>
              </w:rPr>
              <w:t>mi</w:t>
            </w:r>
            <w:r w:rsidRPr="00DC6455">
              <w:rPr>
                <w:rFonts w:eastAsia="Arial" w:cstheme="minorHAnsi"/>
                <w:bCs/>
              </w:rPr>
              <w:t>al</w:t>
            </w:r>
            <w:r w:rsidRPr="00DC6455">
              <w:rPr>
                <w:rFonts w:eastAsia="Arial" w:cstheme="minorHAnsi"/>
                <w:bCs/>
                <w:spacing w:val="-1"/>
              </w:rPr>
              <w:t xml:space="preserve"> </w:t>
            </w:r>
            <w:r w:rsidRPr="00DC6455">
              <w:rPr>
                <w:rFonts w:eastAsia="Arial" w:cstheme="minorHAnsi"/>
                <w:bCs/>
                <w:spacing w:val="2"/>
              </w:rPr>
              <w:t>exp</w:t>
            </w:r>
            <w:r w:rsidRPr="00DC6455">
              <w:rPr>
                <w:rFonts w:eastAsia="Arial" w:cstheme="minorHAnsi"/>
                <w:bCs/>
              </w:rPr>
              <w:t>a</w:t>
            </w:r>
            <w:r w:rsidRPr="00DC6455">
              <w:rPr>
                <w:rFonts w:eastAsia="Arial" w:cstheme="minorHAnsi"/>
                <w:bCs/>
                <w:spacing w:val="2"/>
              </w:rPr>
              <w:t>nsio</w:t>
            </w:r>
            <w:r w:rsidRPr="00DC6455">
              <w:rPr>
                <w:rFonts w:eastAsia="Arial" w:cstheme="minorHAnsi"/>
                <w:bCs/>
              </w:rPr>
              <w:t>n</w:t>
            </w:r>
            <w:r w:rsidRPr="00DC6455">
              <w:rPr>
                <w:rFonts w:eastAsia="Arial" w:cstheme="minorHAnsi"/>
                <w:bCs/>
                <w:spacing w:val="-3"/>
              </w:rPr>
              <w:t xml:space="preserve"> </w:t>
            </w:r>
            <w:r w:rsidRPr="00DC6455">
              <w:rPr>
                <w:rFonts w:eastAsia="Arial" w:cstheme="minorHAnsi"/>
                <w:bCs/>
                <w:spacing w:val="1"/>
              </w:rPr>
              <w:t>o</w:t>
            </w:r>
            <w:r w:rsidRPr="00DC6455">
              <w:rPr>
                <w:rFonts w:eastAsia="Arial" w:cstheme="minorHAnsi"/>
                <w:bCs/>
              </w:rPr>
              <w:t>f</w:t>
            </w:r>
            <w:r w:rsidRPr="00DC6455">
              <w:rPr>
                <w:rFonts w:eastAsia="Arial" w:cstheme="minorHAnsi"/>
                <w:bCs/>
                <w:spacing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(a+bx)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 xml:space="preserve">n </m:t>
                  </m:r>
                </m:sup>
              </m:sSup>
            </m:oMath>
            <w:r w:rsidRPr="00DC6455">
              <w:rPr>
                <w:rFonts w:cstheme="minorHAnsi"/>
              </w:rPr>
              <w:t xml:space="preserve"> for rational values of </w:t>
            </w:r>
            <w:r w:rsidRPr="00DC6455">
              <w:rPr>
                <w:rFonts w:cstheme="minorHAnsi"/>
                <w:i/>
              </w:rPr>
              <w:t>n</w:t>
            </w:r>
            <w:r w:rsidRPr="00DC6455">
              <w:rPr>
                <w:rFonts w:cstheme="minorHAnsi"/>
              </w:rPr>
              <w:t xml:space="preserve"> and</w:t>
            </w:r>
            <w:r w:rsidRPr="00DC6455">
              <w:rPr>
                <w:rFonts w:eastAsia="Arial" w:cstheme="minorHAnsi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Arial" w:hAnsi="Cambria Math" w:cstheme="minorHAns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Arial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Arial" w:hAnsi="Cambria Math" w:cstheme="minorHAnsi"/>
                        </w:rPr>
                        <m:t>bx</m:t>
                      </m:r>
                    </m:num>
                    <m:den>
                      <m:r>
                        <w:rPr>
                          <w:rFonts w:ascii="Cambria Math" w:eastAsia="Arial" w:hAnsi="Cambria Math" w:cstheme="minorHAnsi"/>
                        </w:rPr>
                        <m:t>a</m:t>
                      </m:r>
                    </m:den>
                  </m:f>
                </m:e>
              </m:d>
            </m:oMath>
            <w:r w:rsidRPr="00DC6455">
              <w:rPr>
                <w:rFonts w:eastAsia="Arial" w:cstheme="minorHAnsi"/>
              </w:rPr>
              <w:t xml:space="preserve"> &lt; </w:t>
            </w:r>
            <w:r w:rsidRPr="00DC6455">
              <w:rPr>
                <w:rFonts w:cstheme="minorHAnsi"/>
              </w:rPr>
              <w:t>1;</w:t>
            </w:r>
          </w:p>
        </w:tc>
        <w:tc>
          <w:tcPr>
            <w:tcW w:w="726" w:type="dxa"/>
          </w:tcPr>
          <w:p w14:paraId="7A2FAED7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dxa"/>
          </w:tcPr>
          <w:p w14:paraId="12536D0A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1" w:type="dxa"/>
          </w:tcPr>
          <w:p w14:paraId="258AC0B9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61C" w:rsidRPr="001C3B09" w14:paraId="3C00E364" w14:textId="77777777" w:rsidTr="007F4F52">
        <w:trPr>
          <w:trHeight w:val="225"/>
        </w:trPr>
        <w:tc>
          <w:tcPr>
            <w:tcW w:w="1980" w:type="dxa"/>
            <w:vMerge/>
          </w:tcPr>
          <w:p w14:paraId="23949B7B" w14:textId="77777777" w:rsidR="002D061C" w:rsidRPr="001C3B09" w:rsidRDefault="002D061C" w:rsidP="002D061C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4" w:type="dxa"/>
            <w:gridSpan w:val="3"/>
          </w:tcPr>
          <w:p w14:paraId="171D7954" w14:textId="57D5CC7A" w:rsidR="002D061C" w:rsidRPr="00A707EC" w:rsidRDefault="002D061C" w:rsidP="002D061C">
            <w:pPr>
              <w:spacing w:after="0" w:line="240" w:lineRule="auto"/>
              <w:jc w:val="both"/>
              <w:rPr>
                <w:rFonts w:cstheme="minorHAnsi"/>
              </w:rPr>
            </w:pPr>
            <w:r w:rsidRPr="00DC6455">
              <w:rPr>
                <w:rFonts w:cstheme="minorHAnsi"/>
              </w:rPr>
              <w:t>know how to use the binomial theorem to find approximations (including roots).</w:t>
            </w:r>
          </w:p>
        </w:tc>
        <w:tc>
          <w:tcPr>
            <w:tcW w:w="726" w:type="dxa"/>
          </w:tcPr>
          <w:p w14:paraId="60C45578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dxa"/>
          </w:tcPr>
          <w:p w14:paraId="670FC125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1" w:type="dxa"/>
          </w:tcPr>
          <w:p w14:paraId="62719F80" w14:textId="77777777" w:rsidR="002D061C" w:rsidRPr="001C3B09" w:rsidRDefault="002D061C" w:rsidP="002D06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1026" w:rsidRPr="001C3B09" w14:paraId="0536636B" w14:textId="77777777" w:rsidTr="007F4F52">
        <w:trPr>
          <w:trHeight w:val="225"/>
        </w:trPr>
        <w:tc>
          <w:tcPr>
            <w:tcW w:w="1980" w:type="dxa"/>
          </w:tcPr>
          <w:p w14:paraId="4C7AC261" w14:textId="6D607B68" w:rsidR="00ED1026" w:rsidRPr="001C3B09" w:rsidRDefault="00ED1026" w:rsidP="00ED102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 xml:space="preserve">4b. </w:t>
            </w:r>
            <w:r w:rsidRPr="00A5516E">
              <w:rPr>
                <w:rFonts w:cstheme="minorHAnsi"/>
                <w:b/>
                <w:sz w:val="24"/>
              </w:rPr>
              <w:t xml:space="preserve"> </w:t>
            </w:r>
            <w:r w:rsidRPr="00A5516E">
              <w:rPr>
                <w:rFonts w:cstheme="minorHAnsi"/>
                <w:b/>
                <w:sz w:val="24"/>
              </w:rPr>
              <w:t>Expansion of functions by first using partial fractions</w:t>
            </w:r>
          </w:p>
        </w:tc>
        <w:tc>
          <w:tcPr>
            <w:tcW w:w="6564" w:type="dxa"/>
            <w:gridSpan w:val="3"/>
          </w:tcPr>
          <w:p w14:paraId="1C7FE625" w14:textId="4BB27CA1" w:rsidR="00ED1026" w:rsidRPr="001C3B09" w:rsidRDefault="00ED1026" w:rsidP="00ED10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E498A">
              <w:rPr>
                <w:rFonts w:cstheme="minorHAnsi"/>
              </w:rPr>
              <w:t>be able to use partial fractions to write a rational function as a series expansion.</w:t>
            </w:r>
          </w:p>
        </w:tc>
        <w:tc>
          <w:tcPr>
            <w:tcW w:w="726" w:type="dxa"/>
          </w:tcPr>
          <w:p w14:paraId="71ACEA49" w14:textId="77777777" w:rsidR="00ED1026" w:rsidRPr="001C3B09" w:rsidRDefault="00ED1026" w:rsidP="00ED102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" w:type="dxa"/>
          </w:tcPr>
          <w:p w14:paraId="11A4F25A" w14:textId="77777777" w:rsidR="00ED1026" w:rsidRPr="001C3B09" w:rsidRDefault="00ED1026" w:rsidP="00ED102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1" w:type="dxa"/>
          </w:tcPr>
          <w:p w14:paraId="7FF215AC" w14:textId="77777777" w:rsidR="00ED1026" w:rsidRPr="001C3B09" w:rsidRDefault="00ED1026" w:rsidP="00ED102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0A5A5602" w14:textId="3A452E51" w:rsidR="006349CF" w:rsidRDefault="00ED10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A5334" wp14:editId="0B0EA2C9">
                <wp:simplePos x="0" y="0"/>
                <wp:positionH relativeFrom="margin">
                  <wp:align>left</wp:align>
                </wp:positionH>
                <wp:positionV relativeFrom="paragraph">
                  <wp:posOffset>5584825</wp:posOffset>
                </wp:positionV>
                <wp:extent cx="6734175" cy="20002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82587" w14:textId="77777777" w:rsidR="006349CF" w:rsidRPr="008F4B32" w:rsidRDefault="006349CF" w:rsidP="006349C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8F4B32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Links: </w:t>
                            </w:r>
                          </w:p>
                          <w:p w14:paraId="646441EF" w14:textId="77777777" w:rsidR="002D061C" w:rsidRDefault="006349CF" w:rsidP="006349CF">
                            <w:pPr>
                              <w:spacing w:after="0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8F4B3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LG1: </w:t>
                            </w: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You will learn </w:t>
                            </w:r>
                            <w:r w:rsidR="002D061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how to find binomial expansions including where the power is negative or fractional and where neither term inside the binomial is equal to 1. </w:t>
                            </w:r>
                            <w:r w:rsidR="002D061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You will learn</w:t>
                            </w:r>
                            <w:r w:rsidR="002D061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 how to use the binomial theorem to find approximations including roots. </w:t>
                            </w:r>
                          </w:p>
                          <w:p w14:paraId="7FCD1170" w14:textId="73D56CB5" w:rsidR="006349CF" w:rsidRPr="008F4B32" w:rsidRDefault="006349CF" w:rsidP="006349CF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F4B3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LG2: </w:t>
                            </w: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You will </w:t>
                            </w:r>
                            <w:r w:rsidR="002D061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be able to apply </w:t>
                            </w:r>
                            <w:r w:rsidR="002D061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your</w:t>
                            </w:r>
                            <w:r w:rsidR="002D061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 knowledge o</w:t>
                            </w:r>
                            <w:r w:rsidR="002D061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f </w:t>
                            </w:r>
                            <w:r w:rsidR="002D061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partial fractions to write a rational function as a series expansion.  </w:t>
                            </w:r>
                          </w:p>
                          <w:p w14:paraId="7922E94C" w14:textId="5F541627" w:rsidR="006349CF" w:rsidRPr="008F4B32" w:rsidRDefault="006349CF" w:rsidP="006349CF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F4B3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LG3: </w:t>
                            </w: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You will </w:t>
                            </w:r>
                            <w:r w:rsidR="002D061C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be able to solve a variety of routine and non-routine problems, by combining several Mathematical skill sets. For example, by assessing the separate validities for individual binomial terms to declare the validity of the final series.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A53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439.75pt;width:530.25pt;height:15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" fillcolor="white [3201]" strokeweight="1.5pt">
                <v:textbox>
                  <w:txbxContent>
                    <w:p w14:paraId="61582587" w14:textId="77777777" w:rsidR="006349CF" w:rsidRPr="008F4B32" w:rsidRDefault="006349CF" w:rsidP="006349CF">
                      <w:pPr>
                        <w:spacing w:after="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8F4B32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Links: </w:t>
                      </w:r>
                    </w:p>
                    <w:p w14:paraId="646441EF" w14:textId="77777777" w:rsidR="002D061C" w:rsidRDefault="006349CF" w:rsidP="006349CF">
                      <w:pPr>
                        <w:spacing w:after="0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8F4B3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LG1: </w:t>
                      </w: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You will learn </w:t>
                      </w:r>
                      <w:r w:rsidR="002D061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how to find binomial expansions including where the power is negative or fractional and where neither term inside the binomial is equal to 1. </w:t>
                      </w:r>
                      <w:r w:rsidR="002D061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You will learn</w:t>
                      </w:r>
                      <w:r w:rsidR="002D061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 how to use the binomial theorem to find approximations including roots. </w:t>
                      </w:r>
                    </w:p>
                    <w:p w14:paraId="7FCD1170" w14:textId="73D56CB5" w:rsidR="006349CF" w:rsidRPr="008F4B32" w:rsidRDefault="006349CF" w:rsidP="006349CF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F4B3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LG2: </w:t>
                      </w: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You will </w:t>
                      </w:r>
                      <w:r w:rsidR="002D061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be able to apply </w:t>
                      </w:r>
                      <w:r w:rsidR="002D061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your</w:t>
                      </w:r>
                      <w:r w:rsidR="002D061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 knowledge o</w:t>
                      </w:r>
                      <w:r w:rsidR="002D061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f </w:t>
                      </w:r>
                      <w:r w:rsidR="002D061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partial fractions to write a rational function as a series expansion.  </w:t>
                      </w:r>
                    </w:p>
                    <w:p w14:paraId="7922E94C" w14:textId="5F541627" w:rsidR="006349CF" w:rsidRPr="008F4B32" w:rsidRDefault="006349CF" w:rsidP="006349CF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F4B3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LG3: </w:t>
                      </w: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You will </w:t>
                      </w:r>
                      <w:r w:rsidR="002D061C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be able to solve a variety of routine and non-routine problems, by combining several Mathematical skill sets. For example, by assessing the separate validities for individual binomial terms to declare the validity of the final series.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5E555F" w14:textId="0FE0B324" w:rsidR="006349CF" w:rsidRDefault="006349CF"/>
    <w:p w14:paraId="7D35074B" w14:textId="27DB5D10" w:rsidR="006349CF" w:rsidRDefault="006349CF"/>
    <w:p w14:paraId="3B5A236B" w14:textId="0B256EB8" w:rsidR="006349CF" w:rsidRDefault="006349CF"/>
    <w:p w14:paraId="3F6EA0B4" w14:textId="77BE79EB" w:rsidR="0032573D" w:rsidRDefault="0032573D"/>
    <w:sectPr w:rsidR="0032573D" w:rsidSect="00336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31A7D"/>
    <w:multiLevelType w:val="hybridMultilevel"/>
    <w:tmpl w:val="DA5CB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3C56"/>
    <w:multiLevelType w:val="hybridMultilevel"/>
    <w:tmpl w:val="483EE1C0"/>
    <w:lvl w:ilvl="0" w:tplc="9FBEB8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675F9"/>
    <w:multiLevelType w:val="hybridMultilevel"/>
    <w:tmpl w:val="5E7AC3E6"/>
    <w:lvl w:ilvl="0" w:tplc="FFB8E9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6702A"/>
    <w:multiLevelType w:val="hybridMultilevel"/>
    <w:tmpl w:val="F852F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B2DE1"/>
    <w:multiLevelType w:val="hybridMultilevel"/>
    <w:tmpl w:val="19BC97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F9085B"/>
    <w:multiLevelType w:val="hybridMultilevel"/>
    <w:tmpl w:val="78FCD05A"/>
    <w:lvl w:ilvl="0" w:tplc="48D69C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BA"/>
    <w:rsid w:val="00033CD4"/>
    <w:rsid w:val="00074F30"/>
    <w:rsid w:val="00085A4B"/>
    <w:rsid w:val="000A4ADB"/>
    <w:rsid w:val="000B079A"/>
    <w:rsid w:val="000F0257"/>
    <w:rsid w:val="00134D1B"/>
    <w:rsid w:val="00136E93"/>
    <w:rsid w:val="001C3968"/>
    <w:rsid w:val="001C3B09"/>
    <w:rsid w:val="001E6A96"/>
    <w:rsid w:val="001E7AF2"/>
    <w:rsid w:val="00274AAC"/>
    <w:rsid w:val="002A28AD"/>
    <w:rsid w:val="002D061C"/>
    <w:rsid w:val="002F259E"/>
    <w:rsid w:val="0032573D"/>
    <w:rsid w:val="0033675A"/>
    <w:rsid w:val="003459B1"/>
    <w:rsid w:val="003B3F69"/>
    <w:rsid w:val="003C6DFD"/>
    <w:rsid w:val="00470D54"/>
    <w:rsid w:val="00471B37"/>
    <w:rsid w:val="00497578"/>
    <w:rsid w:val="004C50D5"/>
    <w:rsid w:val="004D42C0"/>
    <w:rsid w:val="004D4AD1"/>
    <w:rsid w:val="00500F22"/>
    <w:rsid w:val="00511099"/>
    <w:rsid w:val="00523203"/>
    <w:rsid w:val="00566458"/>
    <w:rsid w:val="00584245"/>
    <w:rsid w:val="006349CF"/>
    <w:rsid w:val="00642A9E"/>
    <w:rsid w:val="006A668D"/>
    <w:rsid w:val="00703757"/>
    <w:rsid w:val="00721DCB"/>
    <w:rsid w:val="00761238"/>
    <w:rsid w:val="0079299F"/>
    <w:rsid w:val="007955C7"/>
    <w:rsid w:val="007B3CE3"/>
    <w:rsid w:val="007D0FDE"/>
    <w:rsid w:val="007D4110"/>
    <w:rsid w:val="007F2842"/>
    <w:rsid w:val="007F4F52"/>
    <w:rsid w:val="007F5001"/>
    <w:rsid w:val="00827835"/>
    <w:rsid w:val="00831F97"/>
    <w:rsid w:val="00832361"/>
    <w:rsid w:val="00885F0D"/>
    <w:rsid w:val="008A1A2A"/>
    <w:rsid w:val="008B5004"/>
    <w:rsid w:val="008D491A"/>
    <w:rsid w:val="008E416C"/>
    <w:rsid w:val="008F4B32"/>
    <w:rsid w:val="00905CE7"/>
    <w:rsid w:val="00971232"/>
    <w:rsid w:val="009D7C2F"/>
    <w:rsid w:val="009F6D57"/>
    <w:rsid w:val="00A4322C"/>
    <w:rsid w:val="00A772B1"/>
    <w:rsid w:val="00A962AA"/>
    <w:rsid w:val="00AA2260"/>
    <w:rsid w:val="00AE0ABA"/>
    <w:rsid w:val="00AE7A8D"/>
    <w:rsid w:val="00B23497"/>
    <w:rsid w:val="00B24E5E"/>
    <w:rsid w:val="00B85982"/>
    <w:rsid w:val="00BC1C13"/>
    <w:rsid w:val="00C010E9"/>
    <w:rsid w:val="00C33802"/>
    <w:rsid w:val="00C46DA0"/>
    <w:rsid w:val="00C7069B"/>
    <w:rsid w:val="00CE49C5"/>
    <w:rsid w:val="00CF284B"/>
    <w:rsid w:val="00D137E1"/>
    <w:rsid w:val="00D1388F"/>
    <w:rsid w:val="00D67887"/>
    <w:rsid w:val="00DF21BB"/>
    <w:rsid w:val="00E048FE"/>
    <w:rsid w:val="00E27C22"/>
    <w:rsid w:val="00E45B41"/>
    <w:rsid w:val="00E50992"/>
    <w:rsid w:val="00E54214"/>
    <w:rsid w:val="00E85B48"/>
    <w:rsid w:val="00E904C9"/>
    <w:rsid w:val="00ED0966"/>
    <w:rsid w:val="00ED1026"/>
    <w:rsid w:val="00F15695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4D36"/>
  <w15:chartTrackingRefBased/>
  <w15:docId w15:val="{9D0A7B8D-6756-482F-A8B0-F7E78AF7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4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0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commons.wikimedia.org/wiki/File:Thumbs_up_font_awesome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E80F59BB104798E222572B3D5FDE" ma:contentTypeVersion="18" ma:contentTypeDescription="Create a new document." ma:contentTypeScope="" ma:versionID="4c99977c63519e53fd17bdf16ae03dcc">
  <xsd:schema xmlns:xsd="http://www.w3.org/2001/XMLSchema" xmlns:xs="http://www.w3.org/2001/XMLSchema" xmlns:p="http://schemas.microsoft.com/office/2006/metadata/properties" xmlns:ns2="3cde8ce8-497b-4d58-ad3b-77e996642cc8" xmlns:ns3="1c2ace7b-0193-49d6-b28f-a6c5f1daf0a8" targetNamespace="http://schemas.microsoft.com/office/2006/metadata/properties" ma:root="true" ma:fieldsID="ae1149d02e8c8d9bb97ba4584c6f987b" ns2:_="" ns3:_="">
    <xsd:import namespace="3cde8ce8-497b-4d58-ad3b-77e996642cc8"/>
    <xsd:import namespace="1c2ace7b-0193-49d6-b28f-a6c5f1daf0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umber" minOccurs="0"/>
                <xsd:element ref="ns3:Number1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8ce8-497b-4d58-ad3b-77e996642c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8db6e8-8e3f-4f32-be5c-77757f75b656}" ma:internalName="TaxCatchAll" ma:showField="CatchAllData" ma:web="3cde8ce8-497b-4d58-ad3b-77e996642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ace7b-0193-49d6-b28f-a6c5f1daf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default="1" ma:format="Dropdown" ma:internalName="Number" ma:percentage="FALSE">
      <xsd:simpleType>
        <xsd:restriction base="dms:Number"/>
      </xsd:simpleType>
    </xsd:element>
    <xsd:element name="Number1" ma:index="22" nillable="true" ma:displayName="Number1" ma:format="Dropdown" ma:internalName="Number1" ma:percentage="FALSE">
      <xsd:simpleType>
        <xsd:restriction base="dms:Number">
          <xsd:maxInclusive value="100"/>
          <xsd:minInclusive value="1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1 xmlns="1c2ace7b-0193-49d6-b28f-a6c5f1daf0a8" xsi:nil="true"/>
    <TaxCatchAll xmlns="3cde8ce8-497b-4d58-ad3b-77e996642cc8" xsi:nil="true"/>
    <lcf76f155ced4ddcb4097134ff3c332f xmlns="1c2ace7b-0193-49d6-b28f-a6c5f1daf0a8">
      <Terms xmlns="http://schemas.microsoft.com/office/infopath/2007/PartnerControls"/>
    </lcf76f155ced4ddcb4097134ff3c332f>
    <Number xmlns="1c2ace7b-0193-49d6-b28f-a6c5f1daf0a8">1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D7331-6170-4346-92D7-FD819B34FE2B}"/>
</file>

<file path=customXml/itemProps2.xml><?xml version="1.0" encoding="utf-8"?>
<ds:datastoreItem xmlns:ds="http://schemas.openxmlformats.org/officeDocument/2006/customXml" ds:itemID="{FFD825FF-2ED0-4064-8AE3-B1EE90CA2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CB55CE-E318-4D1D-ADEA-60C606145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Wycherley, Scott</dc:creator>
  <cp:keywords/>
  <dc:description/>
  <cp:lastModifiedBy>Barlow, Katy</cp:lastModifiedBy>
  <cp:revision>3</cp:revision>
  <cp:lastPrinted>2019-06-10T12:24:00Z</cp:lastPrinted>
  <dcterms:created xsi:type="dcterms:W3CDTF">2020-06-12T09:48:00Z</dcterms:created>
  <dcterms:modified xsi:type="dcterms:W3CDTF">2020-06-12T09:53:00Z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0x0101005BF0E80F59BB104798E222572B3D5FDE</vt:lpwstr>
  </property>
</Properties>
</file>