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4710C118" w:rsidR="00E85B48" w:rsidRPr="001C3B09" w:rsidRDefault="00C3380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721DC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pure unit </w:t>
            </w:r>
            <w:r w:rsidR="0013339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133393">
              <w:rPr>
                <w:b/>
                <w:sz w:val="24"/>
                <w:szCs w:val="24"/>
              </w:rPr>
              <w:t>Radians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681A7D6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F4B32">
              <w:rPr>
                <w:sz w:val="24"/>
                <w:szCs w:val="24"/>
              </w:rPr>
              <w:t>pure maths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133393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78553711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5a. </w:t>
            </w:r>
            <w:r w:rsidRPr="00A5516E">
              <w:rPr>
                <w:rFonts w:cstheme="minorHAnsi"/>
                <w:b/>
                <w:sz w:val="24"/>
              </w:rPr>
              <w:t xml:space="preserve">  </w:t>
            </w:r>
            <w:r w:rsidRPr="00A5516E">
              <w:rPr>
                <w:rFonts w:cstheme="minorHAnsi"/>
                <w:b/>
                <w:sz w:val="24"/>
              </w:rPr>
              <w:t>Radians (definition and exact values)</w:t>
            </w:r>
          </w:p>
        </w:tc>
        <w:tc>
          <w:tcPr>
            <w:tcW w:w="6564" w:type="dxa"/>
            <w:gridSpan w:val="3"/>
          </w:tcPr>
          <w:p w14:paraId="6211553F" w14:textId="01A35971" w:rsidR="00133393" w:rsidRPr="001C3B09" w:rsidRDefault="00133393" w:rsidP="001333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73910">
              <w:rPr>
                <w:rFonts w:cstheme="minorHAnsi"/>
              </w:rPr>
              <w:t>understand the definition of a radian and be able to convert between radians and degrees;</w:t>
            </w:r>
          </w:p>
        </w:tc>
        <w:tc>
          <w:tcPr>
            <w:tcW w:w="726" w:type="dxa"/>
          </w:tcPr>
          <w:p w14:paraId="000DA362" w14:textId="3DC6C58D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33393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48D8038" w:rsidR="00133393" w:rsidRPr="001C3B09" w:rsidRDefault="00133393" w:rsidP="0013339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73910">
              <w:rPr>
                <w:rFonts w:cstheme="minorHAnsi"/>
              </w:rPr>
              <w:t>know</w:t>
            </w:r>
            <w:r w:rsidRPr="00173910">
              <w:rPr>
                <w:rFonts w:cstheme="minorHAnsi"/>
                <w:spacing w:val="-3"/>
              </w:rPr>
              <w:t xml:space="preserve"> </w:t>
            </w:r>
            <w:r w:rsidRPr="00173910">
              <w:rPr>
                <w:rFonts w:cstheme="minorHAnsi"/>
              </w:rPr>
              <w:t>and</w:t>
            </w:r>
            <w:r w:rsidRPr="00173910">
              <w:rPr>
                <w:rFonts w:cstheme="minorHAnsi"/>
                <w:spacing w:val="-3"/>
              </w:rPr>
              <w:t xml:space="preserve"> </w:t>
            </w:r>
            <w:r w:rsidRPr="00173910">
              <w:rPr>
                <w:rFonts w:cstheme="minorHAnsi"/>
              </w:rPr>
              <w:t>be able to use</w:t>
            </w:r>
            <w:r w:rsidRPr="00173910">
              <w:rPr>
                <w:rFonts w:cstheme="minorHAnsi"/>
                <w:spacing w:val="-2"/>
              </w:rPr>
              <w:t xml:space="preserve"> </w:t>
            </w:r>
            <w:r w:rsidRPr="00173910">
              <w:rPr>
                <w:rFonts w:cstheme="minorHAnsi"/>
              </w:rPr>
              <w:t>e</w:t>
            </w:r>
            <w:r w:rsidRPr="00173910">
              <w:rPr>
                <w:rFonts w:cstheme="minorHAnsi"/>
                <w:spacing w:val="-2"/>
              </w:rPr>
              <w:t>x</w:t>
            </w:r>
            <w:r w:rsidRPr="00173910">
              <w:rPr>
                <w:rFonts w:cstheme="minorHAnsi"/>
              </w:rPr>
              <w:t xml:space="preserve">act </w:t>
            </w:r>
            <w:r w:rsidRPr="00173910">
              <w:rPr>
                <w:rFonts w:cstheme="minorHAnsi"/>
                <w:spacing w:val="1"/>
              </w:rPr>
              <w:t>v</w:t>
            </w:r>
            <w:r w:rsidRPr="00173910">
              <w:rPr>
                <w:rFonts w:cstheme="minorHAnsi"/>
              </w:rPr>
              <w:t>alues</w:t>
            </w:r>
            <w:r w:rsidRPr="00173910">
              <w:rPr>
                <w:rFonts w:cstheme="minorHAnsi"/>
                <w:spacing w:val="-2"/>
              </w:rPr>
              <w:t xml:space="preserve"> </w:t>
            </w:r>
            <w:r w:rsidRPr="00173910">
              <w:rPr>
                <w:rFonts w:cstheme="minorHAnsi"/>
              </w:rPr>
              <w:t>of</w:t>
            </w:r>
            <w:r w:rsidRPr="00173910">
              <w:rPr>
                <w:rFonts w:cstheme="minorHAnsi"/>
                <w:spacing w:val="-2"/>
              </w:rPr>
              <w:t xml:space="preserve"> </w:t>
            </w:r>
            <w:r w:rsidRPr="00173910">
              <w:rPr>
                <w:rFonts w:cstheme="minorHAnsi"/>
              </w:rPr>
              <w:t xml:space="preserve">sin, </w:t>
            </w:r>
            <w:proofErr w:type="gramStart"/>
            <w:r w:rsidRPr="00173910">
              <w:rPr>
                <w:rFonts w:cstheme="minorHAnsi"/>
              </w:rPr>
              <w:t>cos</w:t>
            </w:r>
            <w:proofErr w:type="gramEnd"/>
            <w:r w:rsidRPr="00173910">
              <w:rPr>
                <w:rFonts w:cstheme="minorHAnsi"/>
              </w:rPr>
              <w:t xml:space="preserve"> and tan.</w:t>
            </w:r>
          </w:p>
        </w:tc>
        <w:tc>
          <w:tcPr>
            <w:tcW w:w="726" w:type="dxa"/>
          </w:tcPr>
          <w:p w14:paraId="6232629A" w14:textId="0FC0279D" w:rsidR="00133393" w:rsidRPr="001C3B09" w:rsidRDefault="00133393" w:rsidP="001333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133393" w:rsidRPr="001C3B09" w:rsidRDefault="00133393" w:rsidP="001333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133393" w:rsidRPr="001C3B09" w:rsidRDefault="00133393" w:rsidP="001333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1026" w:rsidRPr="001C3B09" w14:paraId="0536636B" w14:textId="77777777" w:rsidTr="00133393">
        <w:trPr>
          <w:trHeight w:val="220"/>
        </w:trPr>
        <w:tc>
          <w:tcPr>
            <w:tcW w:w="1980" w:type="dxa"/>
          </w:tcPr>
          <w:p w14:paraId="4C7AC261" w14:textId="7F172179" w:rsidR="00ED1026" w:rsidRPr="001C3B09" w:rsidRDefault="00133393" w:rsidP="00ED102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  <w:r w:rsidR="00ED1026">
              <w:rPr>
                <w:rFonts w:cstheme="minorHAnsi"/>
                <w:b/>
                <w:sz w:val="24"/>
              </w:rPr>
              <w:t xml:space="preserve">b. </w:t>
            </w:r>
            <w:r w:rsidR="00ED1026" w:rsidRPr="00A5516E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Arcs and sectors</w:t>
            </w:r>
          </w:p>
        </w:tc>
        <w:tc>
          <w:tcPr>
            <w:tcW w:w="6564" w:type="dxa"/>
            <w:gridSpan w:val="3"/>
          </w:tcPr>
          <w:p w14:paraId="4D9C67B9" w14:textId="77777777" w:rsidR="00133393" w:rsidRPr="00133393" w:rsidRDefault="00133393" w:rsidP="00133393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133393">
              <w:rPr>
                <w:rFonts w:cstheme="minorHAnsi"/>
                <w:iCs/>
              </w:rPr>
              <w:t>be able to derive and use the formulae for arc length and area of sector.</w:t>
            </w:r>
          </w:p>
          <w:p w14:paraId="1C7FE625" w14:textId="7A3B3CE7" w:rsidR="00ED1026" w:rsidRPr="001C3B09" w:rsidRDefault="00ED1026" w:rsidP="00ED102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" w:type="dxa"/>
          </w:tcPr>
          <w:p w14:paraId="71ACEA49" w14:textId="77777777" w:rsidR="00ED1026" w:rsidRPr="001C3B09" w:rsidRDefault="00ED1026" w:rsidP="00ED102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ED1026" w:rsidRPr="001C3B09" w:rsidRDefault="00ED1026" w:rsidP="00ED102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ED1026" w:rsidRPr="001C3B09" w:rsidRDefault="00ED1026" w:rsidP="00ED102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33393" w:rsidRPr="001C3B09" w14:paraId="7C13CED7" w14:textId="77777777" w:rsidTr="00133393">
        <w:trPr>
          <w:trHeight w:val="220"/>
        </w:trPr>
        <w:tc>
          <w:tcPr>
            <w:tcW w:w="1980" w:type="dxa"/>
            <w:vMerge w:val="restart"/>
          </w:tcPr>
          <w:p w14:paraId="77119D38" w14:textId="187D5915" w:rsidR="00133393" w:rsidRDefault="00133393" w:rsidP="00133393">
            <w:pPr>
              <w:spacing w:after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5c. Solving trigonometric equations</w:t>
            </w:r>
          </w:p>
        </w:tc>
        <w:tc>
          <w:tcPr>
            <w:tcW w:w="6564" w:type="dxa"/>
            <w:gridSpan w:val="3"/>
          </w:tcPr>
          <w:p w14:paraId="79C95484" w14:textId="32FB6313" w:rsidR="00133393" w:rsidRPr="00133393" w:rsidRDefault="00133393" w:rsidP="00133393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566FAD">
              <w:rPr>
                <w:rFonts w:cstheme="minorHAnsi"/>
              </w:rPr>
              <w:t>be able to solve trigonometric equations within a given interval using radian limits</w:t>
            </w:r>
          </w:p>
        </w:tc>
        <w:tc>
          <w:tcPr>
            <w:tcW w:w="726" w:type="dxa"/>
          </w:tcPr>
          <w:p w14:paraId="3BBC50CD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274A443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FCE6560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33393" w:rsidRPr="001C3B09" w14:paraId="4E299C15" w14:textId="77777777" w:rsidTr="00133393">
        <w:trPr>
          <w:trHeight w:val="220"/>
        </w:trPr>
        <w:tc>
          <w:tcPr>
            <w:tcW w:w="1980" w:type="dxa"/>
            <w:vMerge/>
          </w:tcPr>
          <w:p w14:paraId="4D1825D3" w14:textId="77777777" w:rsidR="00133393" w:rsidRDefault="00133393" w:rsidP="0013339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326FE17A" w14:textId="7114AD69" w:rsidR="00133393" w:rsidRPr="00133393" w:rsidRDefault="00133393" w:rsidP="00133393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566FAD">
              <w:rPr>
                <w:rFonts w:cstheme="minorHAnsi"/>
              </w:rPr>
              <w:t xml:space="preserve">understand and be able to use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tan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θ</m:t>
                  </m:r>
                </m:e>
              </m:func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θ</m:t>
                      </m:r>
                    </m:e>
                  </m:func>
                </m:den>
              </m:f>
            </m:oMath>
          </w:p>
        </w:tc>
        <w:tc>
          <w:tcPr>
            <w:tcW w:w="726" w:type="dxa"/>
          </w:tcPr>
          <w:p w14:paraId="0929C649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2A8A481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BBB55E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33393" w:rsidRPr="001C3B09" w14:paraId="7E46AE22" w14:textId="77777777" w:rsidTr="00133393">
        <w:trPr>
          <w:trHeight w:val="220"/>
        </w:trPr>
        <w:tc>
          <w:tcPr>
            <w:tcW w:w="1980" w:type="dxa"/>
            <w:vMerge/>
          </w:tcPr>
          <w:p w14:paraId="198675DD" w14:textId="77777777" w:rsidR="00133393" w:rsidRDefault="00133393" w:rsidP="00133393">
            <w:pPr>
              <w:spacing w:after="0"/>
              <w:rPr>
                <w:rFonts w:cstheme="minorHAnsi"/>
                <w:b/>
                <w:sz w:val="24"/>
              </w:rPr>
            </w:pPr>
          </w:p>
        </w:tc>
        <w:tc>
          <w:tcPr>
            <w:tcW w:w="6564" w:type="dxa"/>
            <w:gridSpan w:val="3"/>
          </w:tcPr>
          <w:p w14:paraId="56644FC3" w14:textId="414D895C" w:rsidR="00133393" w:rsidRPr="00133393" w:rsidRDefault="00133393" w:rsidP="00133393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566FAD">
              <w:rPr>
                <w:rFonts w:cstheme="minorHAnsi"/>
              </w:rPr>
              <w:t>Understand and use sin</w:t>
            </w:r>
            <w:r w:rsidRPr="00566FAD">
              <w:rPr>
                <w:rFonts w:cstheme="minorHAnsi"/>
                <w:vertAlign w:val="superscript"/>
              </w:rPr>
              <w:t>2</w:t>
            </w:r>
            <w:r w:rsidRPr="00566FAD">
              <w:rPr>
                <w:rFonts w:cstheme="minorHAnsi"/>
              </w:rPr>
              <w:t> </w:t>
            </w:r>
            <w:r w:rsidRPr="00566FAD">
              <w:rPr>
                <w:rFonts w:cstheme="minorHAnsi"/>
                <w:i/>
              </w:rPr>
              <w:t>θ</w:t>
            </w:r>
            <w:r w:rsidRPr="00566FAD">
              <w:rPr>
                <w:rFonts w:cstheme="minorHAnsi"/>
              </w:rPr>
              <w:t xml:space="preserve"> + cos</w:t>
            </w:r>
            <w:r w:rsidRPr="00566FAD">
              <w:rPr>
                <w:rFonts w:cstheme="minorHAnsi"/>
                <w:vertAlign w:val="superscript"/>
              </w:rPr>
              <w:t>2</w:t>
            </w:r>
            <w:r w:rsidRPr="00566FAD">
              <w:rPr>
                <w:rFonts w:cstheme="minorHAnsi"/>
              </w:rPr>
              <w:t> </w:t>
            </w:r>
            <w:r w:rsidRPr="00566FAD">
              <w:rPr>
                <w:rFonts w:cstheme="minorHAnsi"/>
                <w:i/>
              </w:rPr>
              <w:t>θ</w:t>
            </w:r>
            <w:r w:rsidRPr="00566FAD">
              <w:rPr>
                <w:rFonts w:cstheme="minorHAnsi"/>
              </w:rPr>
              <w:t xml:space="preserve"> = 1</w:t>
            </w:r>
          </w:p>
        </w:tc>
        <w:tc>
          <w:tcPr>
            <w:tcW w:w="726" w:type="dxa"/>
          </w:tcPr>
          <w:p w14:paraId="6154D9AF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F2FF35B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D97A94C" w14:textId="77777777" w:rsidR="00133393" w:rsidRPr="001C3B09" w:rsidRDefault="00133393" w:rsidP="0013339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33393" w:rsidRPr="001C3B09" w14:paraId="1AA001B1" w14:textId="77777777" w:rsidTr="009C4F75">
        <w:trPr>
          <w:trHeight w:val="220"/>
        </w:trPr>
        <w:tc>
          <w:tcPr>
            <w:tcW w:w="1980" w:type="dxa"/>
          </w:tcPr>
          <w:p w14:paraId="0F4012BD" w14:textId="0BFC6327" w:rsidR="00133393" w:rsidRPr="001C3B09" w:rsidRDefault="00133393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  <w:r>
              <w:rPr>
                <w:rFonts w:cstheme="minorHAnsi"/>
                <w:b/>
                <w:sz w:val="24"/>
              </w:rPr>
              <w:t>d</w:t>
            </w:r>
            <w:r>
              <w:rPr>
                <w:rFonts w:cstheme="minorHAnsi"/>
                <w:b/>
                <w:sz w:val="24"/>
              </w:rPr>
              <w:t xml:space="preserve">. </w:t>
            </w:r>
            <w:r w:rsidRPr="00A5516E">
              <w:rPr>
                <w:rFonts w:cstheme="minorHAnsi"/>
                <w:b/>
                <w:sz w:val="24"/>
              </w:rPr>
              <w:t xml:space="preserve"> </w:t>
            </w:r>
            <w:r>
              <w:rPr>
                <w:rFonts w:cstheme="minorHAnsi"/>
                <w:b/>
                <w:sz w:val="24"/>
              </w:rPr>
              <w:t>Small angles</w:t>
            </w:r>
          </w:p>
        </w:tc>
        <w:tc>
          <w:tcPr>
            <w:tcW w:w="6564" w:type="dxa"/>
            <w:gridSpan w:val="3"/>
          </w:tcPr>
          <w:p w14:paraId="4DA21BA8" w14:textId="77777777" w:rsidR="00133393" w:rsidRPr="00133393" w:rsidRDefault="00133393" w:rsidP="00133393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  <w:r w:rsidRPr="00133393">
              <w:rPr>
                <w:rFonts w:cstheme="minorHAnsi"/>
                <w:iCs/>
              </w:rPr>
              <w:t>understand and be able to use the standard small angle approximations for sine, cosine and tangent.</w:t>
            </w:r>
          </w:p>
          <w:p w14:paraId="46584AA9" w14:textId="77777777" w:rsidR="00133393" w:rsidRPr="00133393" w:rsidRDefault="00133393" w:rsidP="00133393">
            <w:pPr>
              <w:spacing w:after="0" w:line="240" w:lineRule="auto"/>
              <w:jc w:val="both"/>
              <w:rPr>
                <w:rFonts w:cstheme="minorHAnsi"/>
                <w:iCs/>
              </w:rPr>
            </w:pPr>
          </w:p>
        </w:tc>
        <w:tc>
          <w:tcPr>
            <w:tcW w:w="726" w:type="dxa"/>
          </w:tcPr>
          <w:p w14:paraId="44350CFC" w14:textId="77777777" w:rsidR="00133393" w:rsidRPr="001C3B09" w:rsidRDefault="00133393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2400659" w14:textId="77777777" w:rsidR="00133393" w:rsidRPr="001C3B09" w:rsidRDefault="00133393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D406644" w14:textId="77777777" w:rsidR="00133393" w:rsidRPr="001C3B09" w:rsidRDefault="00133393" w:rsidP="009C4F7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A5A5602" w14:textId="22CA1C00" w:rsidR="006349CF" w:rsidRDefault="001333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A5334" wp14:editId="699A3C05">
                <wp:simplePos x="0" y="0"/>
                <wp:positionH relativeFrom="margin">
                  <wp:align>left</wp:align>
                </wp:positionH>
                <wp:positionV relativeFrom="paragraph">
                  <wp:posOffset>4718050</wp:posOffset>
                </wp:positionV>
                <wp:extent cx="6734175" cy="2000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82587" w14:textId="77777777" w:rsidR="006349CF" w:rsidRPr="008F4B32" w:rsidRDefault="006349CF" w:rsidP="006349C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8B2ACC3" w14:textId="77777777" w:rsidR="00133393" w:rsidRDefault="006349CF" w:rsidP="006349C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how to work with radian measure including use for arc length and sector area.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learn how to use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the standard small angle approximations for sine, cosine and tangent.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learn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and use exact values of sin, cos and tan and multiples thereof.  </w:t>
                            </w:r>
                          </w:p>
                          <w:p w14:paraId="0447B8AF" w14:textId="77777777" w:rsidR="00133393" w:rsidRDefault="006349CF" w:rsidP="006349C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LG2: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be able to apply 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of radian measure to find solutions to problems modelled using graphs of trig functions.  </w:t>
                            </w:r>
                          </w:p>
                          <w:p w14:paraId="7922E94C" w14:textId="21BA8D0F" w:rsidR="006349CF" w:rsidRPr="008F4B32" w:rsidRDefault="006349CF" w:rsidP="006349CF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F4B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2D061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be able to solve a variety of routine and non-routine problems, </w:t>
                            </w:r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by combining several Mathematical skill sets. For example, solving quadratic trigonometric equations requiring the use of trig identities where some solutions are </w:t>
                            </w:r>
                            <w:proofErr w:type="gramStart"/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valid</w:t>
                            </w:r>
                            <w:proofErr w:type="gramEnd"/>
                            <w:r w:rsidR="001333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and others are not.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A53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71.5pt;width:530.25pt;height:15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" fillcolor="white [3201]" strokeweight="1.5pt">
                <v:textbox>
                  <w:txbxContent>
                    <w:p w14:paraId="61582587" w14:textId="77777777" w:rsidR="006349CF" w:rsidRPr="008F4B32" w:rsidRDefault="006349CF" w:rsidP="006349CF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8F4B32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8B2ACC3" w14:textId="77777777" w:rsidR="00133393" w:rsidRDefault="006349CF" w:rsidP="006349C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how to work with radian measure including use for arc length and sector area.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learn how to use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the standard small angle approximations for sine, cosine and tangent.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learn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and use exact values of sin, cos and tan and multiples thereof.  </w:t>
                      </w:r>
                    </w:p>
                    <w:p w14:paraId="0447B8AF" w14:textId="77777777" w:rsidR="00133393" w:rsidRDefault="006349CF" w:rsidP="006349C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LG2: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be able to apply 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of radian measure to find solutions to problems modelled using graphs of trig functions.  </w:t>
                      </w:r>
                    </w:p>
                    <w:p w14:paraId="7922E94C" w14:textId="21BA8D0F" w:rsidR="006349CF" w:rsidRPr="008F4B32" w:rsidRDefault="006349CF" w:rsidP="006349CF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F4B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2D061C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be able to solve a variety of routine and non-routine problems, </w:t>
                      </w:r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by combining several Mathematical skill sets. For example, solving quadratic trigonometric equations requiring the use of trig identities where some solutions are </w:t>
                      </w:r>
                      <w:proofErr w:type="gramStart"/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valid</w:t>
                      </w:r>
                      <w:proofErr w:type="gramEnd"/>
                      <w:r w:rsidR="001333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and others are not.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E555F" w14:textId="2791E34F" w:rsidR="006349CF" w:rsidRDefault="006349CF"/>
    <w:p w14:paraId="7D35074B" w14:textId="380FA87A" w:rsidR="006349CF" w:rsidRDefault="006349CF"/>
    <w:p w14:paraId="3B5A236B" w14:textId="0B256EB8" w:rsidR="006349CF" w:rsidRDefault="006349CF"/>
    <w:p w14:paraId="3F6EA0B4" w14:textId="77BE79EB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2BD"/>
    <w:multiLevelType w:val="hybridMultilevel"/>
    <w:tmpl w:val="BB9619D2"/>
    <w:lvl w:ilvl="0" w:tplc="FA182F1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5EF6"/>
    <w:multiLevelType w:val="hybridMultilevel"/>
    <w:tmpl w:val="FA3EAB88"/>
    <w:lvl w:ilvl="0" w:tplc="0809000F">
      <w:start w:val="1"/>
      <w:numFmt w:val="decimal"/>
      <w:pStyle w:val="sowbullet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F4759"/>
    <w:multiLevelType w:val="hybridMultilevel"/>
    <w:tmpl w:val="A614C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5A4B"/>
    <w:rsid w:val="000A4ADB"/>
    <w:rsid w:val="000B079A"/>
    <w:rsid w:val="000F0257"/>
    <w:rsid w:val="00133393"/>
    <w:rsid w:val="00134D1B"/>
    <w:rsid w:val="00136E93"/>
    <w:rsid w:val="001C3968"/>
    <w:rsid w:val="001C3B09"/>
    <w:rsid w:val="001E6A96"/>
    <w:rsid w:val="001E7AF2"/>
    <w:rsid w:val="00274AAC"/>
    <w:rsid w:val="002A28AD"/>
    <w:rsid w:val="002D061C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66458"/>
    <w:rsid w:val="00584245"/>
    <w:rsid w:val="006349CF"/>
    <w:rsid w:val="00642A9E"/>
    <w:rsid w:val="006A668D"/>
    <w:rsid w:val="00703757"/>
    <w:rsid w:val="00721DCB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85F0D"/>
    <w:rsid w:val="008A1A2A"/>
    <w:rsid w:val="008B5004"/>
    <w:rsid w:val="008D491A"/>
    <w:rsid w:val="008E416C"/>
    <w:rsid w:val="008F4B32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AE7A8D"/>
    <w:rsid w:val="00B23497"/>
    <w:rsid w:val="00B24E5E"/>
    <w:rsid w:val="00B85982"/>
    <w:rsid w:val="00BC1C13"/>
    <w:rsid w:val="00C010E9"/>
    <w:rsid w:val="00C33802"/>
    <w:rsid w:val="00C46DA0"/>
    <w:rsid w:val="00C7069B"/>
    <w:rsid w:val="00CE49C5"/>
    <w:rsid w:val="00CF284B"/>
    <w:rsid w:val="00D137E1"/>
    <w:rsid w:val="00D1388F"/>
    <w:rsid w:val="00D67887"/>
    <w:rsid w:val="00DF21BB"/>
    <w:rsid w:val="00E048FE"/>
    <w:rsid w:val="00E27C22"/>
    <w:rsid w:val="00E45B41"/>
    <w:rsid w:val="00E50992"/>
    <w:rsid w:val="00E54214"/>
    <w:rsid w:val="00E85B48"/>
    <w:rsid w:val="00E904C9"/>
    <w:rsid w:val="00ED0966"/>
    <w:rsid w:val="00ED1026"/>
    <w:rsid w:val="00F15695"/>
    <w:rsid w:val="00F33E68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owbullets">
    <w:name w:val="sow bullets"/>
    <w:basedOn w:val="ListParagraph"/>
    <w:rsid w:val="00133393"/>
    <w:pPr>
      <w:numPr>
        <w:numId w:val="9"/>
      </w:numPr>
      <w:autoSpaceDE w:val="0"/>
      <w:autoSpaceDN w:val="0"/>
      <w:adjustRightInd w:val="0"/>
      <w:spacing w:before="40" w:after="40" w:line="240" w:lineRule="auto"/>
      <w:contextualSpacing w:val="0"/>
    </w:pPr>
    <w:rPr>
      <w:rFonts w:ascii="Times New Roman" w:eastAsia="Calibri" w:hAnsi="Times New Roman" w:cs="Times New Roman"/>
      <w:i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D9CE0-6C79-45D6-8F26-3099583CB545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2020-06-12T09:53:00Z</dcterms:created>
  <dcterms:modified xsi:type="dcterms:W3CDTF">2020-06-12T09:58:00Z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