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2230"/>
        <w:gridCol w:w="567"/>
        <w:gridCol w:w="567"/>
        <w:gridCol w:w="389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57D73229" w14:textId="77777777" w:rsidR="00E96AE5" w:rsidRPr="00550244" w:rsidRDefault="00E96AE5" w:rsidP="00E96AE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0244">
              <w:rPr>
                <w:rFonts w:cstheme="minorHAnsi"/>
                <w:b/>
                <w:sz w:val="20"/>
                <w:szCs w:val="20"/>
              </w:rPr>
              <w:t xml:space="preserve">Business GCSE </w:t>
            </w:r>
          </w:p>
          <w:p w14:paraId="28B4EA70" w14:textId="23BBA038" w:rsidR="00E85B48" w:rsidRPr="00F27F8A" w:rsidRDefault="00DB12B6" w:rsidP="00550244">
            <w:pPr>
              <w:spacing w:after="0"/>
              <w:jc w:val="center"/>
              <w:rPr>
                <w:rFonts w:cstheme="minorHAnsi"/>
                <w:b/>
              </w:rPr>
            </w:pPr>
            <w:r w:rsidRPr="00550244">
              <w:rPr>
                <w:rFonts w:cstheme="minorHAnsi"/>
                <w:b/>
                <w:sz w:val="20"/>
                <w:szCs w:val="20"/>
              </w:rPr>
              <w:t>1.</w:t>
            </w:r>
            <w:r w:rsidR="00C934F5" w:rsidRPr="00550244">
              <w:rPr>
                <w:rFonts w:cstheme="minorHAnsi"/>
                <w:b/>
                <w:sz w:val="20"/>
                <w:szCs w:val="20"/>
              </w:rPr>
              <w:t>2</w:t>
            </w:r>
            <w:r w:rsidRPr="0055024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50244" w:rsidRPr="00550244">
              <w:rPr>
                <w:rFonts w:cstheme="minorHAnsi"/>
                <w:b/>
                <w:sz w:val="20"/>
                <w:szCs w:val="20"/>
              </w:rPr>
              <w:t>The Effects of the Environment on a Business</w:t>
            </w:r>
            <w:r w:rsidR="00550244" w:rsidRPr="00550244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F27F8A" w:rsidRDefault="001E7AF2" w:rsidP="00E904C9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27F8A">
              <w:rPr>
                <w:rFonts w:cstheme="minorHAnsi"/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49C0DC09" w14:textId="0B1B8AE7" w:rsidR="000B079A" w:rsidRPr="00F27F8A" w:rsidRDefault="00550244" w:rsidP="0044280E">
            <w:pPr>
              <w:spacing w:after="0"/>
              <w:rPr>
                <w:rFonts w:cstheme="minorHAnsi"/>
                <w:sz w:val="20"/>
              </w:rPr>
            </w:pPr>
            <w:r w:rsidRPr="00550244">
              <w:rPr>
                <w:sz w:val="20"/>
                <w:szCs w:val="20"/>
              </w:rPr>
              <w:t>In this unit you will carry research on the extent to which the business environment affects a given business</w:t>
            </w:r>
            <w:r w:rsidR="0044280E">
              <w:rPr>
                <w:sz w:val="20"/>
                <w:szCs w:val="20"/>
              </w:rPr>
              <w:t xml:space="preserve">. </w:t>
            </w:r>
            <w:r w:rsidR="000B079A" w:rsidRPr="00F27F8A">
              <w:rPr>
                <w:rFonts w:cstheme="minorHAnsi"/>
                <w:b/>
                <w:sz w:val="20"/>
              </w:rPr>
              <w:t>LG1</w:t>
            </w:r>
            <w:r w:rsidR="000B079A" w:rsidRPr="00F27F8A">
              <w:rPr>
                <w:rFonts w:cstheme="minorHAnsi"/>
                <w:sz w:val="20"/>
              </w:rPr>
              <w:t>: Knowledge</w:t>
            </w:r>
            <w:r w:rsidR="0044280E">
              <w:rPr>
                <w:rFonts w:cstheme="minorHAnsi"/>
                <w:sz w:val="20"/>
              </w:rPr>
              <w:t xml:space="preserve"> </w:t>
            </w:r>
            <w:r w:rsidR="000B079A" w:rsidRPr="00F27F8A">
              <w:rPr>
                <w:rFonts w:cstheme="minorHAnsi"/>
                <w:b/>
                <w:sz w:val="20"/>
              </w:rPr>
              <w:t>LG2</w:t>
            </w:r>
            <w:r w:rsidR="000B079A" w:rsidRPr="00F27F8A">
              <w:rPr>
                <w:rFonts w:cstheme="minorHAnsi"/>
                <w:sz w:val="20"/>
              </w:rPr>
              <w:t>: Application</w:t>
            </w:r>
            <w:r w:rsidR="0044280E">
              <w:rPr>
                <w:rFonts w:cstheme="minorHAnsi"/>
                <w:sz w:val="20"/>
              </w:rPr>
              <w:t xml:space="preserve"> </w:t>
            </w:r>
            <w:r w:rsidR="000B079A" w:rsidRPr="00F27F8A">
              <w:rPr>
                <w:rFonts w:cstheme="minorHAnsi"/>
                <w:b/>
                <w:sz w:val="20"/>
              </w:rPr>
              <w:t>LG3</w:t>
            </w:r>
            <w:r w:rsidR="000B079A" w:rsidRPr="00F27F8A">
              <w:rPr>
                <w:rFonts w:cstheme="minorHAnsi"/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  <w:r w:rsidRPr="00F27F8A">
              <w:rPr>
                <w:rFonts w:cstheme="minorHAnsi"/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F27F8A" w:rsidRDefault="000B079A" w:rsidP="00B24E5E">
            <w:pPr>
              <w:spacing w:after="0"/>
              <w:rPr>
                <w:rFonts w:cstheme="minorHAnsi"/>
                <w:sz w:val="20"/>
              </w:rPr>
            </w:pPr>
          </w:p>
        </w:tc>
      </w:tr>
      <w:tr w:rsidR="000B079A" w14:paraId="6AAEE81C" w14:textId="77777777" w:rsidTr="0044280E">
        <w:trPr>
          <w:trHeight w:val="349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F27F8A" w:rsidRDefault="001E7AF2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Themes</w:t>
            </w:r>
          </w:p>
        </w:tc>
        <w:tc>
          <w:tcPr>
            <w:tcW w:w="6520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F27F8A" w:rsidRDefault="00831F97" w:rsidP="00E904C9">
            <w:pPr>
              <w:jc w:val="center"/>
              <w:rPr>
                <w:rFonts w:cstheme="minorHAnsi"/>
                <w:b/>
              </w:rPr>
            </w:pPr>
            <w:r w:rsidRPr="00F27F8A">
              <w:rPr>
                <w:rFonts w:cstheme="minorHAnsi"/>
                <w:b/>
              </w:rPr>
              <w:t>Learning Goals/Outcomes</w:t>
            </w:r>
            <w:r w:rsidR="000A4ADB" w:rsidRPr="00F27F8A">
              <w:rPr>
                <w:rFonts w:cstheme="minorHAnsi"/>
                <w:b/>
              </w:rPr>
              <w:t>/</w:t>
            </w:r>
            <w:r w:rsidR="00584245" w:rsidRPr="00F27F8A">
              <w:rPr>
                <w:rFonts w:cstheme="minorHAnsi"/>
                <w:b/>
              </w:rPr>
              <w:t>Content</w:t>
            </w:r>
          </w:p>
        </w:tc>
        <w:tc>
          <w:tcPr>
            <w:tcW w:w="567" w:type="dxa"/>
          </w:tcPr>
          <w:p w14:paraId="4E0D1487" w14:textId="28AE3A07" w:rsidR="00CE49C5" w:rsidRDefault="00CE49C5" w:rsidP="00B24E5E"/>
        </w:tc>
        <w:tc>
          <w:tcPr>
            <w:tcW w:w="567" w:type="dxa"/>
          </w:tcPr>
          <w:p w14:paraId="66D96C36" w14:textId="1B7552FB" w:rsidR="00CE49C5" w:rsidRDefault="00CE49C5" w:rsidP="00B24E5E"/>
        </w:tc>
        <w:tc>
          <w:tcPr>
            <w:tcW w:w="389" w:type="dxa"/>
          </w:tcPr>
          <w:p w14:paraId="3E194668" w14:textId="793E4BF7" w:rsidR="00CE49C5" w:rsidRDefault="00CE49C5" w:rsidP="00B24E5E"/>
        </w:tc>
      </w:tr>
      <w:tr w:rsidR="00500F22" w14:paraId="58E06230" w14:textId="360435D8" w:rsidTr="0044280E">
        <w:trPr>
          <w:trHeight w:val="210"/>
        </w:trPr>
        <w:tc>
          <w:tcPr>
            <w:tcW w:w="2547" w:type="dxa"/>
          </w:tcPr>
          <w:p w14:paraId="62882CE7" w14:textId="74DEC496" w:rsidR="00DB12B6" w:rsidRPr="0006599C" w:rsidRDefault="00550244" w:rsidP="00DB12B6">
            <w:pPr>
              <w:pStyle w:val="Topic"/>
              <w:rPr>
                <w:rFonts w:asciiTheme="minorHAnsi" w:eastAsia="Batang" w:hAnsiTheme="minorHAnsi" w:cstheme="minorHAnsi"/>
                <w:sz w:val="22"/>
                <w:szCs w:val="22"/>
              </w:rPr>
            </w:pPr>
            <w:r w:rsidRPr="0006599C">
              <w:rPr>
                <w:rFonts w:asciiTheme="minorHAnsi" w:eastAsia="Batang" w:hAnsiTheme="minorHAnsi" w:cstheme="minorHAnsi"/>
                <w:sz w:val="22"/>
                <w:szCs w:val="22"/>
              </w:rPr>
              <w:t>The External Environment</w:t>
            </w:r>
          </w:p>
          <w:p w14:paraId="59E8F3DE" w14:textId="2180B359" w:rsidR="00CE49C5" w:rsidRPr="0006599C" w:rsidRDefault="00CE49C5" w:rsidP="00E96AE5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520" w:type="dxa"/>
            <w:gridSpan w:val="3"/>
          </w:tcPr>
          <w:p w14:paraId="0DB301E6" w14:textId="77777777" w:rsidR="00550244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LG1: To know the external factors which create the competitive environment</w:t>
            </w:r>
          </w:p>
          <w:p w14:paraId="31EAC72B" w14:textId="2163D36F" w:rsidR="00550244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LG2: To apply external factors to case study businesses</w:t>
            </w:r>
          </w:p>
          <w:p w14:paraId="6211553F" w14:textId="1C274069" w:rsidR="00E96AE5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</w:t>
            </w:r>
            <w:r w:rsidR="003974B2">
              <w:rPr>
                <w:rFonts w:cstheme="minorHAnsi"/>
                <w:sz w:val="20"/>
                <w:szCs w:val="20"/>
              </w:rPr>
              <w:t>3</w:t>
            </w:r>
            <w:r w:rsidRPr="0006599C">
              <w:rPr>
                <w:rFonts w:cstheme="minorHAnsi"/>
                <w:sz w:val="20"/>
                <w:szCs w:val="20"/>
              </w:rPr>
              <w:t>: To analyse/evaluate the impact of these factors</w:t>
            </w:r>
          </w:p>
        </w:tc>
        <w:tc>
          <w:tcPr>
            <w:tcW w:w="567" w:type="dxa"/>
          </w:tcPr>
          <w:p w14:paraId="000DA362" w14:textId="3DC6C58D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E5DF3EC" w14:textId="032C2859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A927ACE" w14:textId="30C6C78F" w:rsidR="00E50992" w:rsidRPr="00E96AE5" w:rsidRDefault="00E50992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416C" w14:paraId="6905CFC4" w14:textId="77777777" w:rsidTr="0044280E">
        <w:trPr>
          <w:trHeight w:val="225"/>
        </w:trPr>
        <w:tc>
          <w:tcPr>
            <w:tcW w:w="2547" w:type="dxa"/>
          </w:tcPr>
          <w:p w14:paraId="498DDBB4" w14:textId="39980022" w:rsidR="008E416C" w:rsidRPr="0006599C" w:rsidRDefault="00550244" w:rsidP="003928C4">
            <w:pPr>
              <w:rPr>
                <w:rFonts w:cstheme="minorHAnsi"/>
                <w:b/>
              </w:rPr>
            </w:pPr>
            <w:r w:rsidRPr="0006599C">
              <w:rPr>
                <w:rFonts w:cstheme="minorHAnsi"/>
                <w:b/>
              </w:rPr>
              <w:t xml:space="preserve">The internal Environment </w:t>
            </w:r>
          </w:p>
        </w:tc>
        <w:tc>
          <w:tcPr>
            <w:tcW w:w="6520" w:type="dxa"/>
            <w:gridSpan w:val="3"/>
          </w:tcPr>
          <w:p w14:paraId="638A9B8E" w14:textId="1749FAE3" w:rsidR="00550244" w:rsidRPr="0006599C" w:rsidRDefault="00550244" w:rsidP="0006599C">
            <w:pPr>
              <w:pStyle w:val="Tablebullets"/>
              <w:numPr>
                <w:ilvl w:val="0"/>
                <w:numId w:val="0"/>
              </w:numPr>
              <w:spacing w:before="0" w:after="0" w:line="240" w:lineRule="auto"/>
              <w:ind w:left="340" w:hanging="340"/>
              <w:textAlignment w:val="baseline"/>
              <w:rPr>
                <w:rFonts w:asciiTheme="minorHAnsi" w:hAnsiTheme="minorHAnsi" w:cstheme="minorHAnsi"/>
              </w:rPr>
            </w:pPr>
            <w:r w:rsidRPr="0006599C">
              <w:rPr>
                <w:rFonts w:asciiTheme="minorHAnsi" w:hAnsiTheme="minorHAnsi" w:cstheme="minorHAnsi"/>
              </w:rPr>
              <w:t>LG1: To know the internal factors which create the competitive environment - Corporate culture, Corporate Social Responsibility (CSR), Ethics</w:t>
            </w:r>
          </w:p>
          <w:p w14:paraId="577E887A" w14:textId="77777777" w:rsidR="00550244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LG2: To apply internal factors to case study businesses</w:t>
            </w:r>
          </w:p>
          <w:p w14:paraId="41477595" w14:textId="03434A15" w:rsidR="00E96AE5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</w:t>
            </w:r>
            <w:r w:rsidR="003974B2">
              <w:rPr>
                <w:rFonts w:cstheme="minorHAnsi"/>
                <w:sz w:val="20"/>
                <w:szCs w:val="20"/>
              </w:rPr>
              <w:t>3</w:t>
            </w:r>
            <w:r w:rsidRPr="0006599C">
              <w:rPr>
                <w:rFonts w:cstheme="minorHAnsi"/>
                <w:sz w:val="20"/>
                <w:szCs w:val="20"/>
              </w:rPr>
              <w:t>: To analyse/evaluate the impact of these factors</w:t>
            </w:r>
          </w:p>
        </w:tc>
        <w:tc>
          <w:tcPr>
            <w:tcW w:w="567" w:type="dxa"/>
          </w:tcPr>
          <w:p w14:paraId="6232629A" w14:textId="0FC0279D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1FDA276" w14:textId="2F5D9242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3A4E4DA7" w14:textId="33343823" w:rsidR="008E416C" w:rsidRPr="00E96AE5" w:rsidRDefault="008E416C" w:rsidP="00B24E5E">
            <w:pPr>
              <w:rPr>
                <w:rFonts w:ascii="Times New Roman" w:hAnsi="Times New Roman" w:cs="Times New Roman"/>
              </w:rPr>
            </w:pPr>
          </w:p>
        </w:tc>
      </w:tr>
      <w:tr w:rsidR="008D491A" w14:paraId="0FBDD03C" w14:textId="77777777" w:rsidTr="0044280E">
        <w:trPr>
          <w:trHeight w:val="225"/>
        </w:trPr>
        <w:tc>
          <w:tcPr>
            <w:tcW w:w="2547" w:type="dxa"/>
          </w:tcPr>
          <w:p w14:paraId="7982F1BA" w14:textId="3138B757" w:rsidR="00DB12B6" w:rsidRPr="0006599C" w:rsidRDefault="00550244" w:rsidP="003928C4">
            <w:pPr>
              <w:pStyle w:val="ColorfulList-Accent1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06599C">
              <w:rPr>
                <w:rFonts w:asciiTheme="minorHAnsi" w:hAnsiTheme="minorHAnsi" w:cstheme="minorHAnsi"/>
                <w:b/>
              </w:rPr>
              <w:t>Competitive Environment</w:t>
            </w:r>
          </w:p>
          <w:p w14:paraId="63F525B8" w14:textId="1E4FFA4F" w:rsidR="00E96AE5" w:rsidRPr="0006599C" w:rsidRDefault="00E96AE5" w:rsidP="003928C4">
            <w:pPr>
              <w:pStyle w:val="Tabletextbullets"/>
              <w:numPr>
                <w:ilvl w:val="0"/>
                <w:numId w:val="0"/>
              </w:numPr>
              <w:ind w:left="2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</w:tcPr>
          <w:p w14:paraId="17517998" w14:textId="77777777" w:rsidR="00550244" w:rsidRPr="0006599C" w:rsidRDefault="00550244" w:rsidP="0006599C">
            <w:pPr>
              <w:pStyle w:val="Tablesub-head"/>
              <w:spacing w:before="0" w:after="0"/>
              <w:rPr>
                <w:rFonts w:asciiTheme="minorHAnsi" w:hAnsiTheme="minorHAnsi" w:cstheme="minorHAnsi"/>
                <w:b w:val="0"/>
                <w:bCs/>
              </w:rPr>
            </w:pPr>
            <w:r w:rsidRPr="0006599C">
              <w:rPr>
                <w:rFonts w:asciiTheme="minorHAnsi" w:hAnsiTheme="minorHAnsi" w:cstheme="minorHAnsi"/>
                <w:b w:val="0"/>
                <w:bCs/>
              </w:rPr>
              <w:t>LG1: To know the levels of competition and sources of competitive advantage</w:t>
            </w:r>
          </w:p>
          <w:p w14:paraId="2BB270D2" w14:textId="67DE5BF8" w:rsidR="00550244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LG2: To be able to apply sources of competitive advantage to given business</w:t>
            </w:r>
          </w:p>
          <w:p w14:paraId="4EB4E1E1" w14:textId="779EEF65" w:rsidR="008D491A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LG3 To assess benefits and importance of establishing and maintaining a competitive advantage.</w:t>
            </w:r>
          </w:p>
        </w:tc>
        <w:tc>
          <w:tcPr>
            <w:tcW w:w="567" w:type="dxa"/>
          </w:tcPr>
          <w:p w14:paraId="0C4A4D02" w14:textId="77777777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978F828" w14:textId="77777777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0D4D35F" w14:textId="72B059F2" w:rsidR="008D491A" w:rsidRPr="00E96AE5" w:rsidRDefault="008D491A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5004" w14:paraId="062B3143" w14:textId="77777777" w:rsidTr="0044280E">
        <w:trPr>
          <w:trHeight w:val="225"/>
        </w:trPr>
        <w:tc>
          <w:tcPr>
            <w:tcW w:w="2547" w:type="dxa"/>
          </w:tcPr>
          <w:p w14:paraId="22AF1D2A" w14:textId="41638497" w:rsidR="008B5004" w:rsidRPr="0006599C" w:rsidRDefault="00550244" w:rsidP="003928C4">
            <w:pPr>
              <w:pStyle w:val="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59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effects of the business environment </w:t>
            </w:r>
          </w:p>
        </w:tc>
        <w:tc>
          <w:tcPr>
            <w:tcW w:w="6520" w:type="dxa"/>
            <w:gridSpan w:val="3"/>
          </w:tcPr>
          <w:p w14:paraId="3C6E145C" w14:textId="2151585F" w:rsidR="00550244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 xml:space="preserve">LG3: </w:t>
            </w:r>
            <w:proofErr w:type="gramStart"/>
            <w:r w:rsidRPr="0006599C">
              <w:rPr>
                <w:rFonts w:cstheme="minorHAnsi"/>
                <w:sz w:val="20"/>
                <w:szCs w:val="20"/>
              </w:rPr>
              <w:t>To  analyse</w:t>
            </w:r>
            <w:proofErr w:type="gramEnd"/>
            <w:r w:rsidRPr="0006599C">
              <w:rPr>
                <w:rFonts w:cstheme="minorHAnsi"/>
                <w:sz w:val="20"/>
                <w:szCs w:val="20"/>
              </w:rPr>
              <w:t xml:space="preserve"> the positive and negative effects of the business environment</w:t>
            </w:r>
          </w:p>
          <w:p w14:paraId="32FE8BC8" w14:textId="08C8BDE8" w:rsidR="008B5004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LG3 To assess the impact of the environment on a business</w:t>
            </w:r>
          </w:p>
        </w:tc>
        <w:tc>
          <w:tcPr>
            <w:tcW w:w="567" w:type="dxa"/>
          </w:tcPr>
          <w:p w14:paraId="6A4541FC" w14:textId="77777777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E014193" w14:textId="77777777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113DAD39" w14:textId="7169E308" w:rsidR="008B5004" w:rsidRPr="00E96AE5" w:rsidRDefault="008B5004" w:rsidP="00B24E5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AE5" w14:paraId="7ADA448D" w14:textId="77777777" w:rsidTr="0044280E">
        <w:trPr>
          <w:trHeight w:val="225"/>
        </w:trPr>
        <w:tc>
          <w:tcPr>
            <w:tcW w:w="2547" w:type="dxa"/>
          </w:tcPr>
          <w:p w14:paraId="2279251D" w14:textId="3DDEA837" w:rsidR="00DB12B6" w:rsidRPr="0006599C" w:rsidRDefault="00F27F8A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599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550244" w:rsidRPr="0006599C">
              <w:rPr>
                <w:rFonts w:asciiTheme="minorHAnsi" w:hAnsiTheme="minorHAnsi" w:cstheme="minorHAnsi"/>
                <w:b/>
                <w:sz w:val="22"/>
                <w:szCs w:val="22"/>
              </w:rPr>
              <w:t>ituation</w:t>
            </w:r>
            <w:r w:rsidR="003974B2">
              <w:rPr>
                <w:rFonts w:asciiTheme="minorHAnsi" w:hAnsiTheme="minorHAnsi" w:cstheme="minorHAnsi"/>
                <w:b/>
                <w:sz w:val="22"/>
                <w:szCs w:val="22"/>
              </w:rPr>
              <w:t>al</w:t>
            </w:r>
            <w:r w:rsidR="00550244" w:rsidRPr="0006599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Analysis</w:t>
            </w:r>
          </w:p>
          <w:p w14:paraId="187EB197" w14:textId="059E3B46" w:rsidR="00E96AE5" w:rsidRPr="0006599C" w:rsidRDefault="00E96AE5" w:rsidP="00F27F8A">
            <w:pPr>
              <w:pStyle w:val="Tabletextbullets"/>
              <w:numPr>
                <w:ilvl w:val="0"/>
                <w:numId w:val="0"/>
              </w:numPr>
              <w:ind w:left="22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</w:tcPr>
          <w:p w14:paraId="4730DC97" w14:textId="77777777" w:rsidR="00550244" w:rsidRPr="0006599C" w:rsidRDefault="00550244" w:rsidP="0006599C">
            <w:pPr>
              <w:pStyle w:val="Tabletextsub-bullets"/>
              <w:numPr>
                <w:ilvl w:val="0"/>
                <w:numId w:val="0"/>
              </w:numPr>
              <w:spacing w:before="0" w:after="0" w:line="240" w:lineRule="auto"/>
              <w:ind w:left="397" w:hanging="397"/>
              <w:rPr>
                <w:rFonts w:asciiTheme="minorHAnsi" w:hAnsiTheme="minorHAnsi" w:cstheme="minorHAnsi"/>
                <w:szCs w:val="20"/>
              </w:rPr>
            </w:pPr>
            <w:r w:rsidRPr="0006599C">
              <w:rPr>
                <w:rFonts w:asciiTheme="minorHAnsi" w:hAnsiTheme="minorHAnsi" w:cstheme="minorHAnsi"/>
                <w:szCs w:val="20"/>
              </w:rPr>
              <w:t>LG1: To understand the situational techniques - PESTLE analysis, SWOT analysis, 5C’s analysis</w:t>
            </w:r>
          </w:p>
          <w:p w14:paraId="58373D97" w14:textId="3877E686" w:rsidR="00550244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LG2: To apply the techniques to case study businesses</w:t>
            </w:r>
          </w:p>
          <w:p w14:paraId="4F6FA680" w14:textId="171CE2BE" w:rsidR="00E96AE5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LG3: to assess the impact that using situational</w:t>
            </w:r>
            <w:r w:rsidR="0006599C" w:rsidRPr="0006599C">
              <w:rPr>
                <w:rFonts w:cstheme="minorHAnsi"/>
                <w:sz w:val="20"/>
                <w:szCs w:val="20"/>
              </w:rPr>
              <w:t xml:space="preserve"> </w:t>
            </w:r>
            <w:r w:rsidRPr="0006599C">
              <w:rPr>
                <w:rFonts w:cstheme="minorHAnsi"/>
                <w:sz w:val="20"/>
                <w:szCs w:val="20"/>
              </w:rPr>
              <w:t>environment</w:t>
            </w:r>
          </w:p>
        </w:tc>
        <w:tc>
          <w:tcPr>
            <w:tcW w:w="567" w:type="dxa"/>
          </w:tcPr>
          <w:p w14:paraId="095362A2" w14:textId="77777777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EFB8411" w14:textId="29F49829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72066840" w14:textId="5EEDAEE3" w:rsidR="00E96AE5" w:rsidRPr="00E96AE5" w:rsidRDefault="00E96AE5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7F8A" w14:paraId="58FFC5AC" w14:textId="77777777" w:rsidTr="0044280E">
        <w:trPr>
          <w:trHeight w:val="225"/>
        </w:trPr>
        <w:tc>
          <w:tcPr>
            <w:tcW w:w="2547" w:type="dxa"/>
          </w:tcPr>
          <w:p w14:paraId="5774B4D6" w14:textId="7E807962" w:rsidR="00F27F8A" w:rsidRPr="0006599C" w:rsidRDefault="00550244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599C">
              <w:rPr>
                <w:rFonts w:asciiTheme="minorHAnsi" w:hAnsiTheme="minorHAnsi" w:cstheme="minorHAnsi"/>
                <w:b/>
                <w:sz w:val="22"/>
                <w:szCs w:val="22"/>
              </w:rPr>
              <w:t>Situational Analysis Evaluation</w:t>
            </w:r>
          </w:p>
        </w:tc>
        <w:tc>
          <w:tcPr>
            <w:tcW w:w="6520" w:type="dxa"/>
            <w:gridSpan w:val="3"/>
          </w:tcPr>
          <w:p w14:paraId="24BA6618" w14:textId="3CED4C5D" w:rsidR="00550244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 xml:space="preserve">LG3: To be able to effectively research </w:t>
            </w:r>
            <w:proofErr w:type="spellStart"/>
            <w:r w:rsidRPr="0006599C">
              <w:rPr>
                <w:rFonts w:cstheme="minorHAnsi"/>
                <w:sz w:val="20"/>
                <w:szCs w:val="20"/>
              </w:rPr>
              <w:t>affects</w:t>
            </w:r>
            <w:proofErr w:type="spellEnd"/>
            <w:r w:rsidRPr="0006599C">
              <w:rPr>
                <w:rFonts w:cstheme="minorHAnsi"/>
                <w:sz w:val="20"/>
                <w:szCs w:val="20"/>
              </w:rPr>
              <w:t xml:space="preserve"> of the business environment on selected businesses</w:t>
            </w:r>
          </w:p>
          <w:p w14:paraId="334A65FC" w14:textId="1DEB5A46" w:rsidR="00F27F8A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LG3: To be able to use research to make judgements on the impact of the environment on selected businesses</w:t>
            </w:r>
          </w:p>
        </w:tc>
        <w:tc>
          <w:tcPr>
            <w:tcW w:w="567" w:type="dxa"/>
          </w:tcPr>
          <w:p w14:paraId="48375222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D56B72C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2BDDE23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7F8A" w14:paraId="4B19D765" w14:textId="77777777" w:rsidTr="0044280E">
        <w:trPr>
          <w:trHeight w:val="225"/>
        </w:trPr>
        <w:tc>
          <w:tcPr>
            <w:tcW w:w="2547" w:type="dxa"/>
          </w:tcPr>
          <w:p w14:paraId="53503B68" w14:textId="24E90F40" w:rsidR="00F27F8A" w:rsidRPr="0006599C" w:rsidRDefault="00550244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599C">
              <w:rPr>
                <w:rFonts w:asciiTheme="minorHAnsi" w:hAnsiTheme="minorHAnsi" w:cstheme="minorHAnsi"/>
                <w:b/>
                <w:sz w:val="22"/>
                <w:szCs w:val="22"/>
              </w:rPr>
              <w:t>Market Struc</w:t>
            </w:r>
            <w:bookmarkStart w:id="0" w:name="_GoBack"/>
            <w:bookmarkEnd w:id="0"/>
            <w:r w:rsidRPr="0006599C">
              <w:rPr>
                <w:rFonts w:asciiTheme="minorHAnsi" w:hAnsiTheme="minorHAnsi" w:cstheme="minorHAnsi"/>
                <w:b/>
                <w:sz w:val="22"/>
                <w:szCs w:val="22"/>
              </w:rPr>
              <w:t>tures</w:t>
            </w:r>
          </w:p>
        </w:tc>
        <w:tc>
          <w:tcPr>
            <w:tcW w:w="6520" w:type="dxa"/>
            <w:gridSpan w:val="3"/>
          </w:tcPr>
          <w:p w14:paraId="6198629A" w14:textId="182A2B40" w:rsidR="00550244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 xml:space="preserve">LG1: to know the different market structures and their features </w:t>
            </w:r>
          </w:p>
          <w:p w14:paraId="0BFA8BF9" w14:textId="7F183180" w:rsidR="00550244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LG2: to apply market structures to given industries</w:t>
            </w:r>
          </w:p>
          <w:p w14:paraId="4803EAFC" w14:textId="5E2FF63B" w:rsidR="00F27F8A" w:rsidRPr="0006599C" w:rsidRDefault="00550244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LG3: to assess how businesses have adapted to changes in the market</w:t>
            </w:r>
          </w:p>
        </w:tc>
        <w:tc>
          <w:tcPr>
            <w:tcW w:w="567" w:type="dxa"/>
          </w:tcPr>
          <w:p w14:paraId="595A9618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33CFAAD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5697E29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27F8A" w14:paraId="0763797E" w14:textId="77777777" w:rsidTr="0044280E">
        <w:trPr>
          <w:trHeight w:val="225"/>
        </w:trPr>
        <w:tc>
          <w:tcPr>
            <w:tcW w:w="2547" w:type="dxa"/>
          </w:tcPr>
          <w:p w14:paraId="3E06C71A" w14:textId="397539B7" w:rsidR="00F27F8A" w:rsidRPr="0006599C" w:rsidRDefault="0006599C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599C">
              <w:rPr>
                <w:rFonts w:asciiTheme="minorHAnsi" w:hAnsiTheme="minorHAnsi" w:cstheme="minorHAnsi"/>
                <w:b/>
                <w:sz w:val="22"/>
                <w:szCs w:val="22"/>
              </w:rPr>
              <w:t>Relationship between Supply, Demand and Price</w:t>
            </w:r>
          </w:p>
        </w:tc>
        <w:tc>
          <w:tcPr>
            <w:tcW w:w="6520" w:type="dxa"/>
            <w:gridSpan w:val="3"/>
          </w:tcPr>
          <w:p w14:paraId="6A95225C" w14:textId="77777777" w:rsidR="0006599C" w:rsidRPr="0006599C" w:rsidRDefault="0006599C" w:rsidP="000659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LG1: To understand the impact of price on supply and demand</w:t>
            </w:r>
          </w:p>
          <w:p w14:paraId="765421D3" w14:textId="77777777" w:rsidR="0006599C" w:rsidRPr="0006599C" w:rsidRDefault="0006599C" w:rsidP="000659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LG2: To apply these influences to selected markets</w:t>
            </w:r>
          </w:p>
          <w:p w14:paraId="251115E6" w14:textId="1E394BC7" w:rsidR="00F27F8A" w:rsidRPr="0006599C" w:rsidRDefault="0006599C" w:rsidP="000659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LG3: To assess the impact of price on supply and Demand</w:t>
            </w:r>
          </w:p>
        </w:tc>
        <w:tc>
          <w:tcPr>
            <w:tcW w:w="567" w:type="dxa"/>
          </w:tcPr>
          <w:p w14:paraId="1B81F026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2E6A23E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44EB0674" w14:textId="77777777" w:rsidR="00F27F8A" w:rsidRPr="00E96AE5" w:rsidRDefault="00F27F8A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599C" w14:paraId="42187D72" w14:textId="77777777" w:rsidTr="0044280E">
        <w:trPr>
          <w:trHeight w:val="225"/>
        </w:trPr>
        <w:tc>
          <w:tcPr>
            <w:tcW w:w="2547" w:type="dxa"/>
          </w:tcPr>
          <w:p w14:paraId="224B660B" w14:textId="542D7293" w:rsidR="0006599C" w:rsidRPr="0006599C" w:rsidRDefault="0006599C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599C">
              <w:rPr>
                <w:rFonts w:asciiTheme="minorHAnsi" w:hAnsiTheme="minorHAnsi" w:cstheme="minorHAnsi"/>
                <w:b/>
                <w:sz w:val="22"/>
                <w:szCs w:val="22"/>
              </w:rPr>
              <w:t>Pricing and output decisions</w:t>
            </w:r>
          </w:p>
        </w:tc>
        <w:tc>
          <w:tcPr>
            <w:tcW w:w="6520" w:type="dxa"/>
            <w:gridSpan w:val="3"/>
          </w:tcPr>
          <w:p w14:paraId="4C5763C2" w14:textId="77777777" w:rsidR="0006599C" w:rsidRPr="0006599C" w:rsidRDefault="0006599C" w:rsidP="000659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LG1: To know how market structures influence pricing and output decisions</w:t>
            </w:r>
          </w:p>
          <w:p w14:paraId="4F9AD47B" w14:textId="77777777" w:rsidR="0006599C" w:rsidRPr="0006599C" w:rsidRDefault="0006599C" w:rsidP="000659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LG2: To apply decisions and reasons for to selected businesses</w:t>
            </w:r>
          </w:p>
          <w:p w14:paraId="41968BD0" w14:textId="55134C8E" w:rsidR="0006599C" w:rsidRPr="0006599C" w:rsidRDefault="0006599C" w:rsidP="000659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LG3: To assess the responses by business to pricing and output decisions of competitors in different market structures.</w:t>
            </w:r>
          </w:p>
        </w:tc>
        <w:tc>
          <w:tcPr>
            <w:tcW w:w="567" w:type="dxa"/>
          </w:tcPr>
          <w:p w14:paraId="477E7FE8" w14:textId="77777777" w:rsidR="0006599C" w:rsidRPr="00E96AE5" w:rsidRDefault="0006599C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AFDBCD9" w14:textId="77777777" w:rsidR="0006599C" w:rsidRPr="00E96AE5" w:rsidRDefault="0006599C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5342BB4E" w14:textId="77777777" w:rsidR="0006599C" w:rsidRPr="00E96AE5" w:rsidRDefault="0006599C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599C" w14:paraId="238FB6AF" w14:textId="77777777" w:rsidTr="0044280E">
        <w:trPr>
          <w:trHeight w:val="225"/>
        </w:trPr>
        <w:tc>
          <w:tcPr>
            <w:tcW w:w="2547" w:type="dxa"/>
          </w:tcPr>
          <w:p w14:paraId="18E632B3" w14:textId="77777777" w:rsidR="0006599C" w:rsidRPr="0006599C" w:rsidRDefault="0006599C" w:rsidP="0006599C">
            <w:pPr>
              <w:rPr>
                <w:rFonts w:cstheme="minorHAnsi"/>
                <w:b/>
              </w:rPr>
            </w:pPr>
            <w:r w:rsidRPr="0006599C">
              <w:rPr>
                <w:rFonts w:cstheme="minorHAnsi"/>
                <w:b/>
              </w:rPr>
              <w:t>Evaluate market changes</w:t>
            </w:r>
          </w:p>
          <w:p w14:paraId="0C1A221E" w14:textId="77777777" w:rsidR="0006599C" w:rsidRPr="0006599C" w:rsidRDefault="0006599C" w:rsidP="00DB12B6">
            <w:pPr>
              <w:pStyle w:val="text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520" w:type="dxa"/>
            <w:gridSpan w:val="3"/>
          </w:tcPr>
          <w:p w14:paraId="1F445C38" w14:textId="3C36BCB2" w:rsidR="0006599C" w:rsidRPr="0006599C" w:rsidRDefault="0006599C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LG3: To assess and evaluate how changes in the market have impacted on a business</w:t>
            </w:r>
          </w:p>
          <w:p w14:paraId="1C92864B" w14:textId="77777777" w:rsidR="0006599C" w:rsidRPr="0006599C" w:rsidRDefault="0006599C" w:rsidP="0006599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6599C">
              <w:rPr>
                <w:rFonts w:cstheme="minorHAnsi"/>
                <w:sz w:val="20"/>
                <w:szCs w:val="20"/>
              </w:rPr>
              <w:t>LG3: To consider how a business may react to future market changes</w:t>
            </w:r>
          </w:p>
          <w:p w14:paraId="619B9DC1" w14:textId="77777777" w:rsidR="0006599C" w:rsidRPr="0006599C" w:rsidRDefault="0006599C" w:rsidP="0006599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FFF28B" w14:textId="77777777" w:rsidR="0006599C" w:rsidRPr="00E96AE5" w:rsidRDefault="0006599C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5B089AE2" w14:textId="77777777" w:rsidR="0006599C" w:rsidRPr="00E96AE5" w:rsidRDefault="0006599C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</w:tcPr>
          <w:p w14:paraId="742AA884" w14:textId="77777777" w:rsidR="0006599C" w:rsidRPr="00E96AE5" w:rsidRDefault="0006599C" w:rsidP="00E96A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B5CBECC" w14:textId="05FAE66A" w:rsidR="0006599C" w:rsidRDefault="0044280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3DC0D" wp14:editId="4C81B70D">
                <wp:simplePos x="0" y="0"/>
                <wp:positionH relativeFrom="margin">
                  <wp:posOffset>-28575</wp:posOffset>
                </wp:positionH>
                <wp:positionV relativeFrom="paragraph">
                  <wp:posOffset>7899400</wp:posOffset>
                </wp:positionV>
                <wp:extent cx="6734175" cy="19907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99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FFFBE" w14:textId="53C2010D" w:rsidR="00471B37" w:rsidRPr="00F27F8A" w:rsidRDefault="007D0FDE" w:rsidP="00E96AE5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62DD2102" w14:textId="00EAC7E1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Prior Knowledge: </w:t>
                            </w:r>
                            <w:r w:rsidR="0006599C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In 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>your</w:t>
                            </w: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 xml:space="preserve"> f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irst unit of Business studies </w:t>
                            </w:r>
                            <w:r w:rsidR="00F27F8A">
                              <w:rPr>
                                <w:rFonts w:cstheme="minorHAnsi"/>
                                <w:sz w:val="20"/>
                              </w:rPr>
                              <w:t>at BTEC level 3 and you will buil</w:t>
                            </w:r>
                            <w:r w:rsidR="0006599C">
                              <w:rPr>
                                <w:rFonts w:cstheme="minorHAnsi"/>
                                <w:sz w:val="20"/>
                              </w:rPr>
                              <w:t>t</w:t>
                            </w:r>
                            <w:r w:rsidR="00F27F8A">
                              <w:rPr>
                                <w:rFonts w:cstheme="minorHAnsi"/>
                                <w:sz w:val="20"/>
                              </w:rPr>
                              <w:t xml:space="preserve"> the foundations of ownership, purpose, liability which you will build on </w:t>
                            </w:r>
                            <w:r w:rsidR="0006599C">
                              <w:rPr>
                                <w:rFonts w:cstheme="minorHAnsi"/>
                                <w:sz w:val="20"/>
                              </w:rPr>
                              <w:t>in this unit by now considering the impact on these things that the business environment has.</w:t>
                            </w:r>
                          </w:p>
                          <w:p w14:paraId="58483D57" w14:textId="77777777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b/>
                                <w:sz w:val="20"/>
                              </w:rPr>
                              <w:t>Future knowledge:</w:t>
                            </w:r>
                          </w:p>
                          <w:p w14:paraId="666616DC" w14:textId="60F1D8E3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LG1: Knowledge of </w:t>
                            </w:r>
                            <w:r w:rsidR="0006599C">
                              <w:rPr>
                                <w:rFonts w:cstheme="minorHAnsi"/>
                                <w:sz w:val="20"/>
                              </w:rPr>
                              <w:t>the external environment is used in the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 xml:space="preserve"> Finance, marketing and recruitment and selection units. Knowledge on </w:t>
                            </w:r>
                            <w:r w:rsidR="0006599C">
                              <w:rPr>
                                <w:rFonts w:cstheme="minorHAnsi"/>
                                <w:sz w:val="20"/>
                              </w:rPr>
                              <w:t>the impact of Price is developed in the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 xml:space="preserve"> Marketing Unit. </w:t>
                            </w:r>
                          </w:p>
                          <w:p w14:paraId="7587D11B" w14:textId="4AC47C93" w:rsidR="00DB12B6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LG2: Throughout the course you will need to apply knowledge to </w:t>
                            </w:r>
                            <w:r w:rsidR="00474CD3">
                              <w:rPr>
                                <w:rFonts w:cstheme="minorHAnsi"/>
                                <w:sz w:val="20"/>
                              </w:rPr>
                              <w:t>your businesses selected in the assignment units and apply knowledge to given businesses in the exam units.</w:t>
                            </w:r>
                          </w:p>
                          <w:p w14:paraId="34806E5B" w14:textId="4364DDDA" w:rsidR="00E96AE5" w:rsidRPr="00F27F8A" w:rsidRDefault="00DB12B6" w:rsidP="00DB12B6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0"/>
                              </w:rPr>
                            </w:pP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LG3: Development of analysis and evaluation is vital for making business judgements throughout the course and in this </w:t>
                            </w:r>
                            <w:proofErr w:type="gramStart"/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>unit</w:t>
                            </w:r>
                            <w:proofErr w:type="gramEnd"/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 we </w:t>
                            </w:r>
                            <w:r w:rsidR="0044280E">
                              <w:rPr>
                                <w:rFonts w:cstheme="minorHAnsi"/>
                                <w:sz w:val="20"/>
                              </w:rPr>
                              <w:t>further</w:t>
                            </w:r>
                            <w:r w:rsidRPr="00F27F8A">
                              <w:rPr>
                                <w:rFonts w:cstheme="minorHAnsi"/>
                                <w:sz w:val="20"/>
                              </w:rPr>
                              <w:t xml:space="preserve"> develop these skills</w:t>
                            </w:r>
                            <w:r w:rsidR="0044280E">
                              <w:rPr>
                                <w:rFonts w:cstheme="minorHAnsi"/>
                                <w:sz w:val="20"/>
                              </w:rPr>
                              <w:t xml:space="preserve"> and use research to justify our conclusions in the evaluation sections.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AE3DC0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25pt;margin-top:622pt;width:530.25pt;height:156.7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" fillcolor="white [3201]" strokeweight="1.5pt">
                <v:textbox>
                  <w:txbxContent>
                    <w:p w14:paraId="092FFFBE" w14:textId="53C2010D" w:rsidR="00471B37" w:rsidRPr="00F27F8A" w:rsidRDefault="007D0FDE" w:rsidP="00E96AE5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Links: </w:t>
                      </w:r>
                    </w:p>
                    <w:p w14:paraId="62DD2102" w14:textId="00EAC7E1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Prior Knowledge: </w:t>
                      </w:r>
                      <w:r w:rsidR="0006599C">
                        <w:rPr>
                          <w:rFonts w:cstheme="minorHAnsi"/>
                          <w:b/>
                          <w:sz w:val="20"/>
                        </w:rPr>
                        <w:t xml:space="preserve">In 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>your</w:t>
                      </w: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 xml:space="preserve"> f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irst unit of Business studies </w:t>
                      </w:r>
                      <w:r w:rsidR="00F27F8A">
                        <w:rPr>
                          <w:rFonts w:cstheme="minorHAnsi"/>
                          <w:sz w:val="20"/>
                        </w:rPr>
                        <w:t>at BTEC level 3 and you will buil</w:t>
                      </w:r>
                      <w:r w:rsidR="0006599C">
                        <w:rPr>
                          <w:rFonts w:cstheme="minorHAnsi"/>
                          <w:sz w:val="20"/>
                        </w:rPr>
                        <w:t>t</w:t>
                      </w:r>
                      <w:r w:rsidR="00F27F8A">
                        <w:rPr>
                          <w:rFonts w:cstheme="minorHAnsi"/>
                          <w:sz w:val="20"/>
                        </w:rPr>
                        <w:t xml:space="preserve"> the foundations of ownership, purpose, liability which you will build on </w:t>
                      </w:r>
                      <w:r w:rsidR="0006599C">
                        <w:rPr>
                          <w:rFonts w:cstheme="minorHAnsi"/>
                          <w:sz w:val="20"/>
                        </w:rPr>
                        <w:t>in this unit by now considering the impact on these things that the business environment has.</w:t>
                      </w:r>
                    </w:p>
                    <w:p w14:paraId="58483D57" w14:textId="77777777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b/>
                          <w:sz w:val="20"/>
                        </w:rPr>
                        <w:t>Future knowledge:</w:t>
                      </w:r>
                    </w:p>
                    <w:p w14:paraId="666616DC" w14:textId="60F1D8E3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sz w:val="20"/>
                        </w:rPr>
                        <w:t xml:space="preserve">LG1: Knowledge of </w:t>
                      </w:r>
                      <w:r w:rsidR="0006599C">
                        <w:rPr>
                          <w:rFonts w:cstheme="minorHAnsi"/>
                          <w:sz w:val="20"/>
                        </w:rPr>
                        <w:t>the external environment is used in the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 xml:space="preserve"> Finance, marketing and recruitment and selection units. Knowledge on </w:t>
                      </w:r>
                      <w:r w:rsidR="0006599C">
                        <w:rPr>
                          <w:rFonts w:cstheme="minorHAnsi"/>
                          <w:sz w:val="20"/>
                        </w:rPr>
                        <w:t>the impact of Price is developed in the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 xml:space="preserve"> Marketing Unit. </w:t>
                      </w:r>
                    </w:p>
                    <w:p w14:paraId="7587D11B" w14:textId="4AC47C93" w:rsidR="00DB12B6" w:rsidRPr="00F27F8A" w:rsidRDefault="00DB12B6" w:rsidP="00DB12B6">
                      <w:pPr>
                        <w:spacing w:after="0"/>
                        <w:rPr>
                          <w:rFonts w:cstheme="minorHAnsi"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sz w:val="20"/>
                        </w:rPr>
                        <w:t xml:space="preserve">LG2: Throughout the course you will need to apply knowledge to </w:t>
                      </w:r>
                      <w:r w:rsidR="00474CD3">
                        <w:rPr>
                          <w:rFonts w:cstheme="minorHAnsi"/>
                          <w:sz w:val="20"/>
                        </w:rPr>
                        <w:t>your businesses selected in the assignment units and apply knowledge to given businesses in the exam units.</w:t>
                      </w:r>
                    </w:p>
                    <w:p w14:paraId="34806E5B" w14:textId="4364DDDA" w:rsidR="00E96AE5" w:rsidRPr="00F27F8A" w:rsidRDefault="00DB12B6" w:rsidP="00DB12B6">
                      <w:pPr>
                        <w:spacing w:after="0"/>
                        <w:rPr>
                          <w:rFonts w:cstheme="minorHAnsi"/>
                          <w:b/>
                          <w:sz w:val="20"/>
                        </w:rPr>
                      </w:pPr>
                      <w:r w:rsidRPr="00F27F8A">
                        <w:rPr>
                          <w:rFonts w:cstheme="minorHAnsi"/>
                          <w:sz w:val="20"/>
                        </w:rPr>
                        <w:t xml:space="preserve">LG3: Development of analysis and evaluation is vital for making business judgements throughout the course and in this </w:t>
                      </w:r>
                      <w:proofErr w:type="gramStart"/>
                      <w:r w:rsidRPr="00F27F8A">
                        <w:rPr>
                          <w:rFonts w:cstheme="minorHAnsi"/>
                          <w:sz w:val="20"/>
                        </w:rPr>
                        <w:t>unit</w:t>
                      </w:r>
                      <w:proofErr w:type="gramEnd"/>
                      <w:r w:rsidRPr="00F27F8A">
                        <w:rPr>
                          <w:rFonts w:cstheme="minorHAnsi"/>
                          <w:sz w:val="20"/>
                        </w:rPr>
                        <w:t xml:space="preserve"> we </w:t>
                      </w:r>
                      <w:r w:rsidR="0044280E">
                        <w:rPr>
                          <w:rFonts w:cstheme="minorHAnsi"/>
                          <w:sz w:val="20"/>
                        </w:rPr>
                        <w:t>further</w:t>
                      </w:r>
                      <w:r w:rsidRPr="00F27F8A">
                        <w:rPr>
                          <w:rFonts w:cstheme="minorHAnsi"/>
                          <w:sz w:val="20"/>
                        </w:rPr>
                        <w:t xml:space="preserve"> develop these skills</w:t>
                      </w:r>
                      <w:r w:rsidR="0044280E">
                        <w:rPr>
                          <w:rFonts w:cstheme="minorHAnsi"/>
                          <w:sz w:val="20"/>
                        </w:rPr>
                        <w:t xml:space="preserve"> and use research to justify our conclusions in the evaluation sections.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ACE362" wp14:editId="2C042BD5">
                <wp:simplePos x="0" y="0"/>
                <wp:positionH relativeFrom="column">
                  <wp:posOffset>5647055</wp:posOffset>
                </wp:positionH>
                <wp:positionV relativeFrom="paragraph">
                  <wp:posOffset>1497965</wp:posOffset>
                </wp:positionV>
                <wp:extent cx="1162050" cy="336549"/>
                <wp:effectExtent l="0" t="0" r="0" b="698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336549"/>
                          <a:chOff x="0" y="0"/>
                          <a:chExt cx="1162050" cy="336549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42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847725" y="38100"/>
                            <a:ext cx="314325" cy="242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467678" y="58102"/>
                            <a:ext cx="314325" cy="2425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="">
            <w:pict>
              <v:group w14:anchorId="517B4D3E" id="Group 8" o:spid="_x0000_s1026" style="position:absolute;margin-left:444.65pt;margin-top:117.9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<v:imagedata r:id="rId10" o:title=""/>
                </v:shape>
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<v:imagedata r:id="rId10" o:title=""/>
                </v:shape>
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</w:p>
    <w:p w14:paraId="4FBCE24C" w14:textId="4494B2A4" w:rsidR="0006599C" w:rsidRDefault="0006599C"/>
    <w:p w14:paraId="3860E59B" w14:textId="77777777" w:rsidR="0006599C" w:rsidRDefault="0006599C"/>
    <w:p w14:paraId="7822AD4E" w14:textId="146B81B7" w:rsidR="0006599C" w:rsidRDefault="0006599C"/>
    <w:p w14:paraId="07C723F2" w14:textId="167B346D" w:rsidR="00471B37" w:rsidRDefault="00471B37"/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CF9"/>
    <w:multiLevelType w:val="hybridMultilevel"/>
    <w:tmpl w:val="D59C7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E363B"/>
    <w:multiLevelType w:val="hybridMultilevel"/>
    <w:tmpl w:val="3D28A976"/>
    <w:lvl w:ilvl="0" w:tplc="591E5DDC">
      <w:start w:val="1"/>
      <w:numFmt w:val="bullet"/>
      <w:lvlText w:val="–"/>
      <w:lvlJc w:val="left"/>
      <w:pPr>
        <w:tabs>
          <w:tab w:val="num" w:pos="240"/>
        </w:tabs>
        <w:ind w:left="240" w:firstLine="240"/>
      </w:pPr>
      <w:rPr>
        <w:rFonts w:ascii="Verdana" w:hAnsi="Verdana" w:hint="default"/>
      </w:rPr>
    </w:lvl>
    <w:lvl w:ilvl="1" w:tplc="BB9CCC6A">
      <w:start w:val="1"/>
      <w:numFmt w:val="bullet"/>
      <w:pStyle w:val="tablebulletsthirdlevel"/>
      <w:lvlText w:val="–"/>
      <w:lvlJc w:val="left"/>
      <w:pPr>
        <w:tabs>
          <w:tab w:val="num" w:pos="720"/>
        </w:tabs>
        <w:ind w:left="720" w:hanging="240"/>
      </w:pPr>
      <w:rPr>
        <w:rFonts w:ascii="Verdana" w:hAnsi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14A52E29"/>
    <w:multiLevelType w:val="hybridMultilevel"/>
    <w:tmpl w:val="3EC217D8"/>
    <w:lvl w:ilvl="0" w:tplc="08090001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3590B"/>
    <w:multiLevelType w:val="hybridMultilevel"/>
    <w:tmpl w:val="AC62D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7221B"/>
    <w:multiLevelType w:val="hybridMultilevel"/>
    <w:tmpl w:val="33048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5E621C"/>
    <w:multiLevelType w:val="hybridMultilevel"/>
    <w:tmpl w:val="8654DF64"/>
    <w:lvl w:ilvl="0" w:tplc="4AB0B99E">
      <w:start w:val="1"/>
      <w:numFmt w:val="bullet"/>
      <w:pStyle w:val="Text-bullet"/>
      <w:lvlText w:val="●"/>
      <w:lvlJc w:val="left"/>
      <w:pPr>
        <w:tabs>
          <w:tab w:val="num" w:pos="2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rutiger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rutiger Roman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rutiger Roman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C4F6B"/>
    <w:multiLevelType w:val="hybridMultilevel"/>
    <w:tmpl w:val="E8E66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52C34"/>
    <w:multiLevelType w:val="hybridMultilevel"/>
    <w:tmpl w:val="03AEA364"/>
    <w:lvl w:ilvl="0" w:tplc="9B300AC0">
      <w:start w:val="1"/>
      <w:numFmt w:val="bullet"/>
      <w:pStyle w:val="Tabletextsub-bullets"/>
      <w:lvlText w:val="o"/>
      <w:lvlJc w:val="left"/>
      <w:pPr>
        <w:tabs>
          <w:tab w:val="num" w:pos="681"/>
        </w:tabs>
        <w:ind w:left="681" w:hanging="397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7BA05EF"/>
    <w:multiLevelType w:val="hybridMultilevel"/>
    <w:tmpl w:val="5296AA58"/>
    <w:lvl w:ilvl="0" w:tplc="A3EC07B2">
      <w:start w:val="1"/>
      <w:numFmt w:val="bullet"/>
      <w:pStyle w:val="Tabletext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33CD4"/>
    <w:rsid w:val="00060C50"/>
    <w:rsid w:val="0006599C"/>
    <w:rsid w:val="000A4ADB"/>
    <w:rsid w:val="000B079A"/>
    <w:rsid w:val="000F0257"/>
    <w:rsid w:val="001C3968"/>
    <w:rsid w:val="001E2CA9"/>
    <w:rsid w:val="001E6A96"/>
    <w:rsid w:val="001E7AF2"/>
    <w:rsid w:val="00274AAC"/>
    <w:rsid w:val="002A28AD"/>
    <w:rsid w:val="002F259E"/>
    <w:rsid w:val="0033675A"/>
    <w:rsid w:val="003459B1"/>
    <w:rsid w:val="003928C4"/>
    <w:rsid w:val="003974B2"/>
    <w:rsid w:val="003B3F69"/>
    <w:rsid w:val="003C6DFD"/>
    <w:rsid w:val="00433404"/>
    <w:rsid w:val="0044280E"/>
    <w:rsid w:val="00470D54"/>
    <w:rsid w:val="00471B37"/>
    <w:rsid w:val="00474CD3"/>
    <w:rsid w:val="004C50D5"/>
    <w:rsid w:val="004D42C0"/>
    <w:rsid w:val="004D4AD1"/>
    <w:rsid w:val="004F0369"/>
    <w:rsid w:val="00500F22"/>
    <w:rsid w:val="00523203"/>
    <w:rsid w:val="00536C4A"/>
    <w:rsid w:val="00550244"/>
    <w:rsid w:val="00584245"/>
    <w:rsid w:val="00642A9E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531B2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934F5"/>
    <w:rsid w:val="00CE49C5"/>
    <w:rsid w:val="00CF284B"/>
    <w:rsid w:val="00D137E1"/>
    <w:rsid w:val="00D535E3"/>
    <w:rsid w:val="00DB12B6"/>
    <w:rsid w:val="00DF21BB"/>
    <w:rsid w:val="00E048FE"/>
    <w:rsid w:val="00E27C22"/>
    <w:rsid w:val="00E50992"/>
    <w:rsid w:val="00E54214"/>
    <w:rsid w:val="00E85B48"/>
    <w:rsid w:val="00E904C9"/>
    <w:rsid w:val="00E96AE5"/>
    <w:rsid w:val="00EA4A96"/>
    <w:rsid w:val="00F15695"/>
    <w:rsid w:val="00F27F8A"/>
    <w:rsid w:val="00FC413B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Tabletext">
    <w:name w:val="Table text"/>
    <w:rsid w:val="00E96AE5"/>
    <w:p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abletextbullets">
    <w:name w:val="Table text bullets"/>
    <w:qFormat/>
    <w:rsid w:val="00E96AE5"/>
    <w:pPr>
      <w:numPr>
        <w:numId w:val="1"/>
      </w:numPr>
      <w:spacing w:after="0" w:line="240" w:lineRule="atLeast"/>
    </w:pPr>
    <w:rPr>
      <w:rFonts w:ascii="Verdana" w:eastAsia="Times New Roman" w:hAnsi="Verdana" w:cs="Arial"/>
      <w:sz w:val="16"/>
      <w:szCs w:val="24"/>
    </w:rPr>
  </w:style>
  <w:style w:type="paragraph" w:customStyle="1" w:styleId="Topic">
    <w:name w:val="Topic"/>
    <w:basedOn w:val="Normal"/>
    <w:rsid w:val="00DB12B6"/>
    <w:pPr>
      <w:tabs>
        <w:tab w:val="left" w:pos="720"/>
      </w:tabs>
      <w:spacing w:before="100" w:after="100" w:line="260" w:lineRule="atLeast"/>
    </w:pPr>
    <w:rPr>
      <w:rFonts w:ascii="Verdana" w:eastAsia="Times New Roman" w:hAnsi="Verdana" w:cs="Times New Roman"/>
      <w:b/>
      <w:sz w:val="20"/>
      <w:szCs w:val="20"/>
    </w:rPr>
  </w:style>
  <w:style w:type="paragraph" w:customStyle="1" w:styleId="Text-bullet">
    <w:name w:val="Text-bullet"/>
    <w:basedOn w:val="Normal"/>
    <w:rsid w:val="00DB12B6"/>
    <w:pPr>
      <w:numPr>
        <w:numId w:val="4"/>
      </w:numPr>
      <w:spacing w:before="100" w:after="100" w:line="260" w:lineRule="atLeast"/>
      <w:ind w:right="400"/>
    </w:pPr>
    <w:rPr>
      <w:rFonts w:ascii="Verdana" w:eastAsia="Times New Roman" w:hAnsi="Verdana" w:cs="Times New Roman"/>
      <w:sz w:val="20"/>
      <w:szCs w:val="20"/>
    </w:rPr>
  </w:style>
  <w:style w:type="paragraph" w:customStyle="1" w:styleId="text">
    <w:name w:val="text"/>
    <w:qFormat/>
    <w:rsid w:val="00DB12B6"/>
    <w:pPr>
      <w:spacing w:before="80" w:after="60" w:line="240" w:lineRule="atLeast"/>
      <w:ind w:left="567"/>
    </w:pPr>
    <w:rPr>
      <w:rFonts w:ascii="Verdana" w:eastAsia="Times New Roman" w:hAnsi="Verdana" w:cs="Arial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B12B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bulletsthirdlevel">
    <w:name w:val="table bullets third level"/>
    <w:basedOn w:val="Normal"/>
    <w:rsid w:val="00433404"/>
    <w:pPr>
      <w:numPr>
        <w:ilvl w:val="1"/>
        <w:numId w:val="8"/>
      </w:numPr>
      <w:tabs>
        <w:tab w:val="left" w:pos="240"/>
      </w:tabs>
      <w:spacing w:before="60" w:after="60" w:line="240" w:lineRule="auto"/>
    </w:pPr>
    <w:rPr>
      <w:rFonts w:ascii="Verdana" w:eastAsia="Times New Roman" w:hAnsi="Verdana" w:cs="Times New Roman"/>
      <w:sz w:val="20"/>
      <w:szCs w:val="20"/>
      <w:lang w:eastAsia="en-GB"/>
    </w:rPr>
  </w:style>
  <w:style w:type="paragraph" w:customStyle="1" w:styleId="Tablesub-head">
    <w:name w:val="Table sub-head"/>
    <w:basedOn w:val="Normal"/>
    <w:next w:val="Normal"/>
    <w:rsid w:val="00433404"/>
    <w:pPr>
      <w:spacing w:before="80" w:after="6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ablebullets">
    <w:name w:val="Table bullets"/>
    <w:basedOn w:val="Text-bullet"/>
    <w:qFormat/>
    <w:rsid w:val="00433404"/>
    <w:pPr>
      <w:numPr>
        <w:numId w:val="2"/>
      </w:numPr>
      <w:spacing w:before="60" w:after="60"/>
      <w:ind w:right="0"/>
    </w:pPr>
  </w:style>
  <w:style w:type="paragraph" w:customStyle="1" w:styleId="Tabletextsub-bullets">
    <w:name w:val="Table text sub-bullets"/>
    <w:basedOn w:val="Tabletextbullets"/>
    <w:uiPriority w:val="2"/>
    <w:rsid w:val="00550244"/>
    <w:pPr>
      <w:numPr>
        <w:numId w:val="9"/>
      </w:numPr>
      <w:tabs>
        <w:tab w:val="clear" w:pos="681"/>
        <w:tab w:val="num" w:pos="885"/>
      </w:tabs>
      <w:spacing w:before="60" w:after="60"/>
      <w:ind w:left="885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51DC34-1DE2-43A7-B499-CD8DDA747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Bishell, April</cp:lastModifiedBy>
  <cp:revision>4</cp:revision>
  <cp:lastPrinted>2019-07-18T11:43:00Z</cp:lastPrinted>
  <dcterms:created xsi:type="dcterms:W3CDTF">2020-01-16T09:38:00Z</dcterms:created>
  <dcterms:modified xsi:type="dcterms:W3CDTF">2020-01-21T15:10:00Z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