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532"/>
        <w:gridCol w:w="2475"/>
        <w:gridCol w:w="1707"/>
        <w:gridCol w:w="726"/>
        <w:gridCol w:w="609"/>
        <w:gridCol w:w="711"/>
      </w:tblGrid>
      <w:tr w:rsidR="000F0257" w14:paraId="3F929C82" w14:textId="03B0101A" w:rsidTr="00D34FAF">
        <w:trPr>
          <w:trHeight w:val="360"/>
        </w:trPr>
        <w:tc>
          <w:tcPr>
            <w:tcW w:w="2830" w:type="dxa"/>
            <w:vAlign w:val="center"/>
          </w:tcPr>
          <w:p w14:paraId="57D73229" w14:textId="45DA56F8" w:rsidR="00E96AE5" w:rsidRPr="002D1235" w:rsidRDefault="00E96AE5" w:rsidP="00E96AE5">
            <w:pPr>
              <w:spacing w:after="0"/>
              <w:jc w:val="center"/>
              <w:rPr>
                <w:rFonts w:cstheme="minorHAnsi"/>
                <w:b/>
              </w:rPr>
            </w:pPr>
            <w:r w:rsidRPr="002D1235">
              <w:rPr>
                <w:rFonts w:cstheme="minorHAnsi"/>
                <w:b/>
              </w:rPr>
              <w:t xml:space="preserve">Business </w:t>
            </w:r>
            <w:r w:rsidR="00D34FAF" w:rsidRPr="002D1235">
              <w:rPr>
                <w:rFonts w:cstheme="minorHAnsi"/>
                <w:b/>
              </w:rPr>
              <w:t>BTEC</w:t>
            </w:r>
          </w:p>
          <w:p w14:paraId="28B4EA70" w14:textId="09B5B4D9" w:rsidR="00E85B48" w:rsidRPr="00F27F8A" w:rsidRDefault="002D1235" w:rsidP="00E96AE5">
            <w:pPr>
              <w:spacing w:after="0"/>
              <w:jc w:val="center"/>
              <w:rPr>
                <w:rFonts w:cstheme="minorHAnsi"/>
                <w:b/>
              </w:rPr>
            </w:pPr>
            <w:r w:rsidRPr="002D1235">
              <w:rPr>
                <w:rFonts w:cstheme="minorHAnsi"/>
                <w:b/>
              </w:rPr>
              <w:t xml:space="preserve">Unit 2: </w:t>
            </w:r>
            <w:r w:rsidRPr="002D1235">
              <w:rPr>
                <w:rFonts w:cstheme="minorHAnsi"/>
                <w:b/>
              </w:rPr>
              <w:t>Developing a Marketing Campaign</w:t>
            </w:r>
            <w:r w:rsidRPr="00F27F8A">
              <w:rPr>
                <w:rFonts w:cstheme="minorHAnsi"/>
                <w:b/>
              </w:rPr>
              <w:t xml:space="preserve"> </w:t>
            </w:r>
            <w:r w:rsidR="00DF21BB" w:rsidRPr="00F27F8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760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F27F8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27F8A">
              <w:rPr>
                <w:rFonts w:cstheme="minorHAnsi"/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D34FAF">
        <w:trPr>
          <w:trHeight w:val="324"/>
        </w:trPr>
        <w:tc>
          <w:tcPr>
            <w:tcW w:w="2830" w:type="dxa"/>
            <w:vMerge w:val="restart"/>
          </w:tcPr>
          <w:p w14:paraId="72887347" w14:textId="36A0EA5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 xml:space="preserve">In this unit you will </w:t>
            </w:r>
            <w:r w:rsidR="00F27F8A">
              <w:rPr>
                <w:rFonts w:cstheme="minorHAnsi"/>
                <w:sz w:val="20"/>
              </w:rPr>
              <w:t xml:space="preserve">explore </w:t>
            </w:r>
            <w:r w:rsidR="002D1235">
              <w:rPr>
                <w:rFonts w:cstheme="minorHAnsi"/>
                <w:sz w:val="20"/>
              </w:rPr>
              <w:t>how a business develops a successful marketing campaign and produce one yourself.</w:t>
            </w:r>
          </w:p>
          <w:p w14:paraId="4F2EF46A" w14:textId="266CD5A4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LG1</w:t>
            </w:r>
            <w:r w:rsidRPr="00F27F8A">
              <w:rPr>
                <w:rFonts w:cstheme="minorHAnsi"/>
                <w:sz w:val="20"/>
              </w:rPr>
              <w:t>: Knowledge</w:t>
            </w:r>
          </w:p>
          <w:p w14:paraId="384CC0B5" w14:textId="6E7B450D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LG2</w:t>
            </w:r>
            <w:r w:rsidRPr="00F27F8A">
              <w:rPr>
                <w:rFonts w:cstheme="minorHAnsi"/>
                <w:sz w:val="20"/>
              </w:rPr>
              <w:t>: Application</w:t>
            </w:r>
          </w:p>
          <w:p w14:paraId="49C0DC09" w14:textId="32861EE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LG3</w:t>
            </w:r>
            <w:r w:rsidRPr="00F27F8A">
              <w:rPr>
                <w:rFonts w:cstheme="minorHAnsi"/>
                <w:sz w:val="20"/>
              </w:rPr>
              <w:t>: Skills</w:t>
            </w:r>
          </w:p>
        </w:tc>
        <w:tc>
          <w:tcPr>
            <w:tcW w:w="1532" w:type="dxa"/>
          </w:tcPr>
          <w:p w14:paraId="6578C887" w14:textId="50EEA67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0684188D" w14:textId="7724BD5A" w:rsidTr="00D34FAF">
        <w:trPr>
          <w:trHeight w:val="330"/>
        </w:trPr>
        <w:tc>
          <w:tcPr>
            <w:tcW w:w="2830" w:type="dxa"/>
            <w:vMerge/>
          </w:tcPr>
          <w:p w14:paraId="1DEC050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028A163F" w14:textId="6F734B5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3843AE8E" w14:textId="3DEBBB0E" w:rsidTr="00D34FAF">
        <w:trPr>
          <w:trHeight w:val="285"/>
        </w:trPr>
        <w:tc>
          <w:tcPr>
            <w:tcW w:w="2830" w:type="dxa"/>
            <w:vMerge/>
          </w:tcPr>
          <w:p w14:paraId="76F948B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546816E8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28275D4C" w14:textId="0ED34976" w:rsidTr="00D34FAF">
        <w:trPr>
          <w:trHeight w:val="255"/>
        </w:trPr>
        <w:tc>
          <w:tcPr>
            <w:tcW w:w="2830" w:type="dxa"/>
            <w:vMerge/>
          </w:tcPr>
          <w:p w14:paraId="613FB33D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63CC1AA7" w14:textId="289AEA0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5EB474F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5878E7ED" w14:textId="7AF594F8" w:rsidTr="00D34FAF">
        <w:trPr>
          <w:trHeight w:val="270"/>
        </w:trPr>
        <w:tc>
          <w:tcPr>
            <w:tcW w:w="2830" w:type="dxa"/>
            <w:vMerge/>
          </w:tcPr>
          <w:p w14:paraId="098BF87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59C793A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630AE720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7C997B50" w14:textId="3642D52D" w:rsidTr="00D34FAF">
        <w:trPr>
          <w:trHeight w:val="315"/>
        </w:trPr>
        <w:tc>
          <w:tcPr>
            <w:tcW w:w="2830" w:type="dxa"/>
            <w:vMerge/>
          </w:tcPr>
          <w:p w14:paraId="02EE26F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055A847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7136BA01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6AAEE81C" w14:textId="77777777" w:rsidTr="00D34FAF">
        <w:trPr>
          <w:trHeight w:val="62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27F8A" w:rsidRDefault="001E7AF2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Themes</w:t>
            </w:r>
          </w:p>
        </w:tc>
        <w:tc>
          <w:tcPr>
            <w:tcW w:w="5714" w:type="dxa"/>
            <w:gridSpan w:val="3"/>
            <w:shd w:val="clear" w:color="auto" w:fill="D9D9D9" w:themeFill="background1" w:themeFillShade="D9"/>
            <w:vAlign w:val="center"/>
          </w:tcPr>
          <w:p w14:paraId="6C88901A" w14:textId="5E370C51" w:rsidR="00CE49C5" w:rsidRPr="00F27F8A" w:rsidRDefault="00831F97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Learning Goals/Outcomes</w:t>
            </w:r>
            <w:r w:rsidR="000A4ADB" w:rsidRPr="00F27F8A">
              <w:rPr>
                <w:rFonts w:cstheme="minorHAnsi"/>
                <w:b/>
              </w:rPr>
              <w:t>/</w:t>
            </w:r>
            <w:r w:rsidR="00584245" w:rsidRPr="00F27F8A">
              <w:rPr>
                <w:rFonts w:cstheme="minorHAnsi"/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76255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2D1235" w:rsidRPr="004108D7" w14:paraId="58E06230" w14:textId="360435D8" w:rsidTr="00D34FAF">
        <w:trPr>
          <w:trHeight w:val="210"/>
        </w:trPr>
        <w:tc>
          <w:tcPr>
            <w:tcW w:w="2830" w:type="dxa"/>
          </w:tcPr>
          <w:p w14:paraId="59E8F3DE" w14:textId="7E10C14A" w:rsidR="002D1235" w:rsidRPr="002D1235" w:rsidRDefault="002D1235" w:rsidP="002D123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D1235">
              <w:rPr>
                <w:rFonts w:cstheme="minorHAnsi"/>
                <w:b/>
                <w:bCs/>
                <w:sz w:val="20"/>
                <w:szCs w:val="20"/>
              </w:rPr>
              <w:t>Principles and purposes of marketing</w:t>
            </w:r>
          </w:p>
        </w:tc>
        <w:tc>
          <w:tcPr>
            <w:tcW w:w="5714" w:type="dxa"/>
            <w:gridSpan w:val="3"/>
          </w:tcPr>
          <w:p w14:paraId="1A0BD180" w14:textId="77777777" w:rsidR="002D1235" w:rsidRPr="002D1235" w:rsidRDefault="002D1235" w:rsidP="002D123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D1235">
              <w:rPr>
                <w:rFonts w:ascii="Arial Narrow" w:hAnsi="Arial Narrow" w:cs="Arial"/>
                <w:sz w:val="20"/>
                <w:szCs w:val="20"/>
              </w:rPr>
              <w:t>LG1: To know the principles and purposes of marketing</w:t>
            </w:r>
          </w:p>
          <w:p w14:paraId="6211553F" w14:textId="4E0FFF6D" w:rsidR="002D1235" w:rsidRPr="002D1235" w:rsidRDefault="002D1235" w:rsidP="002D123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D1235">
              <w:rPr>
                <w:rFonts w:ascii="Arial Narrow" w:hAnsi="Arial Narrow" w:cs="Arial"/>
                <w:sz w:val="20"/>
                <w:szCs w:val="20"/>
              </w:rPr>
              <w:t>LG2: To be able to apply the principles of management to different business scenarios</w:t>
            </w:r>
          </w:p>
        </w:tc>
        <w:tc>
          <w:tcPr>
            <w:tcW w:w="726" w:type="dxa"/>
          </w:tcPr>
          <w:p w14:paraId="000DA362" w14:textId="3DC6C58D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3C394219" w14:textId="77777777" w:rsidTr="00D34FAF">
        <w:trPr>
          <w:trHeight w:val="210"/>
        </w:trPr>
        <w:tc>
          <w:tcPr>
            <w:tcW w:w="2830" w:type="dxa"/>
          </w:tcPr>
          <w:p w14:paraId="43191A86" w14:textId="78D97461" w:rsidR="002D1235" w:rsidRPr="002D1235" w:rsidRDefault="002D1235" w:rsidP="002D1235">
            <w:pPr>
              <w:pStyle w:val="Tabletext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2D12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Marketing aims and objectives:</w:t>
            </w:r>
          </w:p>
        </w:tc>
        <w:tc>
          <w:tcPr>
            <w:tcW w:w="5714" w:type="dxa"/>
            <w:gridSpan w:val="3"/>
          </w:tcPr>
          <w:p w14:paraId="4B27F35B" w14:textId="77777777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LG1: To know the common Marketing aims and objectives</w:t>
            </w:r>
            <w:r w:rsidRPr="002D1235"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</w:p>
          <w:p w14:paraId="27263C57" w14:textId="29A1773E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sz w:val="20"/>
                <w:szCs w:val="20"/>
              </w:rPr>
            </w:pPr>
            <w:r w:rsidRPr="002D1235">
              <w:rPr>
                <w:rFonts w:ascii="Arial Narrow" w:hAnsi="Arial Narrow" w:cs="Verdana"/>
                <w:sz w:val="20"/>
                <w:szCs w:val="20"/>
              </w:rPr>
              <w:t xml:space="preserve">LG2: To apply 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Marketing aims and objectives</w:t>
            </w:r>
            <w:r w:rsidRPr="002D1235">
              <w:rPr>
                <w:rFonts w:ascii="Arial Narrow" w:hAnsi="Arial Narrow"/>
                <w:sz w:val="20"/>
                <w:szCs w:val="20"/>
              </w:rPr>
              <w:t xml:space="preserve"> to a c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2D1235">
              <w:rPr>
                <w:rFonts w:ascii="Arial Narrow" w:hAnsi="Arial Narrow"/>
                <w:sz w:val="20"/>
                <w:szCs w:val="20"/>
              </w:rPr>
              <w:t>se study business</w:t>
            </w:r>
          </w:p>
          <w:p w14:paraId="351B6A7C" w14:textId="00E5A0EA" w:rsidR="002D1235" w:rsidRPr="002D1235" w:rsidRDefault="002D1235" w:rsidP="002D1235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ind w:left="340" w:hanging="340"/>
              <w:textAlignment w:val="baseline"/>
              <w:rPr>
                <w:rFonts w:ascii="Arial Narrow" w:hAnsi="Arial Narrow" w:cstheme="minorHAnsi"/>
                <w:bCs/>
              </w:rPr>
            </w:pPr>
            <w:r w:rsidRPr="002D1235">
              <w:rPr>
                <w:rFonts w:ascii="Arial Narrow" w:hAnsi="Arial Narrow"/>
              </w:rPr>
              <w:t xml:space="preserve">LG3: To analyse the </w:t>
            </w:r>
            <w:r w:rsidRPr="002D1235">
              <w:rPr>
                <w:rFonts w:ascii="Arial Narrow" w:eastAsiaTheme="minorHAnsi" w:hAnsi="Arial Narrow" w:cs="Verdana,Bold"/>
              </w:rPr>
              <w:t>Marketing aims and objectives and explain their appropriateness</w:t>
            </w:r>
          </w:p>
        </w:tc>
        <w:tc>
          <w:tcPr>
            <w:tcW w:w="726" w:type="dxa"/>
          </w:tcPr>
          <w:p w14:paraId="77D0EEC9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256589C3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4362B151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6905CFC4" w14:textId="77777777" w:rsidTr="00D34FAF">
        <w:trPr>
          <w:trHeight w:val="225"/>
        </w:trPr>
        <w:tc>
          <w:tcPr>
            <w:tcW w:w="2830" w:type="dxa"/>
          </w:tcPr>
          <w:p w14:paraId="498DDBB4" w14:textId="4952AD71" w:rsidR="002D1235" w:rsidRPr="002D1235" w:rsidRDefault="002D1235" w:rsidP="002D1235">
            <w:pPr>
              <w:pStyle w:val="Tabletext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2D12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Types of market</w:t>
            </w:r>
          </w:p>
        </w:tc>
        <w:tc>
          <w:tcPr>
            <w:tcW w:w="5714" w:type="dxa"/>
            <w:gridSpan w:val="3"/>
          </w:tcPr>
          <w:p w14:paraId="69D10BE6" w14:textId="77777777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LG1: To know the characteristics of a mass and niche market</w:t>
            </w:r>
          </w:p>
          <w:p w14:paraId="13C26706" w14:textId="77777777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LG1: To understand the process of market segmentation</w:t>
            </w:r>
          </w:p>
          <w:p w14:paraId="23F71D4F" w14:textId="77777777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LG2: To be able to apply key terms mass and niche to examples businesses and markets</w:t>
            </w:r>
          </w:p>
          <w:p w14:paraId="41477595" w14:textId="5A2C2827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LG3: To be able to recommend and justify methods of segmentation to given scenarios</w:t>
            </w:r>
          </w:p>
        </w:tc>
        <w:tc>
          <w:tcPr>
            <w:tcW w:w="726" w:type="dxa"/>
          </w:tcPr>
          <w:p w14:paraId="6232629A" w14:textId="0FC0279D" w:rsidR="002D1235" w:rsidRPr="004108D7" w:rsidRDefault="002D1235" w:rsidP="002D123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2D1235" w:rsidRPr="004108D7" w:rsidRDefault="002D1235" w:rsidP="002D123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2D1235" w:rsidRPr="004108D7" w:rsidRDefault="002D1235" w:rsidP="002D123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0FBDD03C" w14:textId="77777777" w:rsidTr="00D34FAF">
        <w:trPr>
          <w:trHeight w:val="225"/>
        </w:trPr>
        <w:tc>
          <w:tcPr>
            <w:tcW w:w="2830" w:type="dxa"/>
          </w:tcPr>
          <w:p w14:paraId="63F525B8" w14:textId="5A21E553" w:rsidR="002D1235" w:rsidRPr="002D1235" w:rsidRDefault="002D1235" w:rsidP="002D1235">
            <w:pPr>
              <w:pStyle w:val="Tabletextbullets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12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Branding</w:t>
            </w:r>
          </w:p>
        </w:tc>
        <w:tc>
          <w:tcPr>
            <w:tcW w:w="5714" w:type="dxa"/>
            <w:gridSpan w:val="3"/>
          </w:tcPr>
          <w:p w14:paraId="6C83C9E7" w14:textId="6A071856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LG1: To recognise the features and characteristics of branding</w:t>
            </w: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and USPs</w:t>
            </w:r>
          </w:p>
          <w:p w14:paraId="16E592CA" w14:textId="77777777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LG2: To apply brand personality, brand image and USPs to case study businesses</w:t>
            </w:r>
          </w:p>
          <w:p w14:paraId="4EB4E1E1" w14:textId="003D0A35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LG3: To assess the success of branding campaigns and USPs</w:t>
            </w:r>
          </w:p>
        </w:tc>
        <w:tc>
          <w:tcPr>
            <w:tcW w:w="726" w:type="dxa"/>
          </w:tcPr>
          <w:p w14:paraId="0C4A4D02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062B3143" w14:textId="77777777" w:rsidTr="00D34FAF">
        <w:trPr>
          <w:trHeight w:val="225"/>
        </w:trPr>
        <w:tc>
          <w:tcPr>
            <w:tcW w:w="2830" w:type="dxa"/>
          </w:tcPr>
          <w:p w14:paraId="22AF1D2A" w14:textId="616785EE" w:rsidR="002D1235" w:rsidRP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 w:rsidRPr="002D1235">
              <w:rPr>
                <w:rFonts w:asciiTheme="minorHAnsi" w:hAnsiTheme="minorHAnsi" w:cstheme="minorHAnsi"/>
                <w:b/>
                <w:bCs/>
                <w:szCs w:val="20"/>
              </w:rPr>
              <w:t>Constraints on marketing activity</w:t>
            </w:r>
          </w:p>
        </w:tc>
        <w:tc>
          <w:tcPr>
            <w:tcW w:w="5714" w:type="dxa"/>
            <w:gridSpan w:val="3"/>
          </w:tcPr>
          <w:p w14:paraId="41CF9805" w14:textId="65D7EA38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LG1: 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o know the Implications of business size for marketing activity, budgetary constraints, availability of specialist staff</w:t>
            </w:r>
          </w:p>
          <w:p w14:paraId="492B80EA" w14:textId="2D3D90E2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LG2: To apply the implications of business size for marketing activity, budgetary constraints, availability of specialist staff</w:t>
            </w:r>
          </w:p>
          <w:p w14:paraId="24FD5BB7" w14:textId="77777777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LG3: To analyse the implications of business size for marketing activity, budgetary constraints, availability of specialist staff</w:t>
            </w:r>
          </w:p>
          <w:p w14:paraId="32FE8BC8" w14:textId="655857D2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7ADA448D" w14:textId="77777777" w:rsidTr="00D34FAF">
        <w:trPr>
          <w:trHeight w:val="225"/>
        </w:trPr>
        <w:tc>
          <w:tcPr>
            <w:tcW w:w="2830" w:type="dxa"/>
          </w:tcPr>
          <w:p w14:paraId="187EB197" w14:textId="5987E0E4" w:rsidR="002D1235" w:rsidRPr="002D1235" w:rsidRDefault="002D1235" w:rsidP="002D1235">
            <w:pPr>
              <w:pStyle w:val="Tabletextbullets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12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Internal influences</w:t>
            </w:r>
          </w:p>
        </w:tc>
        <w:tc>
          <w:tcPr>
            <w:tcW w:w="5714" w:type="dxa"/>
            <w:gridSpan w:val="3"/>
          </w:tcPr>
          <w:p w14:paraId="5101C61B" w14:textId="0F534536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LG1: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know the internal influences on a marketing campaign</w:t>
            </w:r>
          </w:p>
          <w:p w14:paraId="16F02C6F" w14:textId="30BDE244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LG2: </w:t>
            </w:r>
            <w:r>
              <w:rPr>
                <w:rFonts w:ascii="Arial Narrow" w:hAnsi="Arial Narrow" w:cs="Verdana,Bold"/>
                <w:sz w:val="20"/>
                <w:szCs w:val="20"/>
              </w:rPr>
              <w:t>To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 apply internal influences on a marketing campaign</w:t>
            </w:r>
          </w:p>
          <w:p w14:paraId="4F6FA680" w14:textId="16E5679B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LG3: To evaluate the impact of internal influences on a marketing campaign</w:t>
            </w:r>
          </w:p>
        </w:tc>
        <w:tc>
          <w:tcPr>
            <w:tcW w:w="726" w:type="dxa"/>
          </w:tcPr>
          <w:p w14:paraId="095362A2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58FFC5AC" w14:textId="77777777" w:rsidTr="00D34FAF">
        <w:trPr>
          <w:trHeight w:val="225"/>
        </w:trPr>
        <w:tc>
          <w:tcPr>
            <w:tcW w:w="2830" w:type="dxa"/>
          </w:tcPr>
          <w:p w14:paraId="5774B4D6" w14:textId="4CCB6E68" w:rsidR="002D1235" w:rsidRPr="00011491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External influences</w:t>
            </w:r>
          </w:p>
        </w:tc>
        <w:tc>
          <w:tcPr>
            <w:tcW w:w="5714" w:type="dxa"/>
            <w:gridSpan w:val="3"/>
          </w:tcPr>
          <w:p w14:paraId="422201B9" w14:textId="719EF226" w:rsidR="002D1235" w:rsidRPr="002D1235" w:rsidRDefault="002D1235" w:rsidP="002D1235">
            <w:pPr>
              <w:pStyle w:val="Text-bullet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eastAsiaTheme="minorHAnsi" w:hAnsi="Arial Narrow"/>
              </w:rPr>
            </w:pPr>
            <w:r w:rsidRPr="002D1235">
              <w:rPr>
                <w:rFonts w:ascii="Arial Narrow" w:eastAsiaTheme="minorHAnsi" w:hAnsi="Arial Narrow"/>
              </w:rPr>
              <w:t xml:space="preserve">LG1: </w:t>
            </w:r>
            <w:r>
              <w:rPr>
                <w:rFonts w:ascii="Arial Narrow" w:eastAsiaTheme="minorHAnsi" w:hAnsi="Arial Narrow"/>
              </w:rPr>
              <w:t>T</w:t>
            </w:r>
            <w:r w:rsidRPr="002D1235">
              <w:rPr>
                <w:rFonts w:ascii="Arial Narrow" w:eastAsiaTheme="minorHAnsi" w:hAnsi="Arial Narrow"/>
              </w:rPr>
              <w:t>o know the external influences on a marketing campaign</w:t>
            </w:r>
          </w:p>
          <w:p w14:paraId="2DA8F658" w14:textId="4FDCF6F6" w:rsidR="002D1235" w:rsidRPr="002D1235" w:rsidRDefault="002D1235" w:rsidP="002D1235">
            <w:pPr>
              <w:pStyle w:val="Text-bullet"/>
              <w:numPr>
                <w:ilvl w:val="0"/>
                <w:numId w:val="0"/>
              </w:numPr>
              <w:spacing w:before="0" w:after="0" w:line="240" w:lineRule="auto"/>
              <w:rPr>
                <w:rFonts w:ascii="Arial Narrow" w:eastAsiaTheme="minorHAnsi" w:hAnsi="Arial Narrow"/>
              </w:rPr>
            </w:pPr>
            <w:r w:rsidRPr="002D1235">
              <w:rPr>
                <w:rFonts w:ascii="Arial Narrow" w:eastAsiaTheme="minorHAnsi" w:hAnsi="Arial Narrow"/>
              </w:rPr>
              <w:t xml:space="preserve">LG2: </w:t>
            </w:r>
            <w:r>
              <w:rPr>
                <w:rFonts w:ascii="Arial Narrow" w:eastAsiaTheme="minorHAnsi" w:hAnsi="Arial Narrow"/>
              </w:rPr>
              <w:t>T</w:t>
            </w:r>
            <w:r w:rsidRPr="002D1235">
              <w:rPr>
                <w:rFonts w:ascii="Arial Narrow" w:eastAsiaTheme="minorHAnsi" w:hAnsi="Arial Narrow"/>
              </w:rPr>
              <w:t>o apply external influences on a marketing campaign</w:t>
            </w:r>
          </w:p>
          <w:p w14:paraId="334A65FC" w14:textId="45FF4EA2" w:rsidR="002D1235" w:rsidRPr="002D1235" w:rsidRDefault="002D1235" w:rsidP="002D1235">
            <w:pPr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LG3: To evaluate the impact of external influences on a marketing campaign</w:t>
            </w:r>
          </w:p>
        </w:tc>
        <w:tc>
          <w:tcPr>
            <w:tcW w:w="726" w:type="dxa"/>
          </w:tcPr>
          <w:p w14:paraId="48375222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D56B72C" w14:textId="69BEC5EE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2BDDE23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4B19D765" w14:textId="77777777" w:rsidTr="00D34FAF">
        <w:trPr>
          <w:trHeight w:val="225"/>
        </w:trPr>
        <w:tc>
          <w:tcPr>
            <w:tcW w:w="2830" w:type="dxa"/>
          </w:tcPr>
          <w:p w14:paraId="53503B68" w14:textId="3D2F9BEC" w:rsidR="002D1235" w:rsidRPr="00011491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333E86">
              <w:rPr>
                <w:rFonts w:asciiTheme="minorHAnsi" w:hAnsiTheme="minorHAnsi" w:cstheme="minorHAnsi"/>
                <w:b/>
                <w:bCs/>
              </w:rPr>
              <w:t>dentify</w:t>
            </w:r>
            <w:r>
              <w:rPr>
                <w:rFonts w:asciiTheme="minorHAnsi" w:hAnsiTheme="minorHAnsi" w:cstheme="minorHAnsi"/>
                <w:b/>
                <w:bCs/>
              </w:rPr>
              <w:t>ing</w:t>
            </w:r>
            <w:r w:rsidRPr="00333E86">
              <w:rPr>
                <w:rFonts w:asciiTheme="minorHAnsi" w:hAnsiTheme="minorHAnsi" w:cstheme="minorHAnsi"/>
                <w:b/>
                <w:bCs/>
              </w:rPr>
              <w:t xml:space="preserve"> the needs and wants of customers</w:t>
            </w:r>
          </w:p>
        </w:tc>
        <w:tc>
          <w:tcPr>
            <w:tcW w:w="5714" w:type="dxa"/>
            <w:gridSpan w:val="3"/>
          </w:tcPr>
          <w:p w14:paraId="69B15C71" w14:textId="562EBA27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LG1: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To understand the purposes of market research</w:t>
            </w:r>
          </w:p>
          <w:p w14:paraId="4803EAFC" w14:textId="54344D2A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LG2: To apply purposes to case study businesses</w:t>
            </w:r>
          </w:p>
        </w:tc>
        <w:tc>
          <w:tcPr>
            <w:tcW w:w="726" w:type="dxa"/>
          </w:tcPr>
          <w:p w14:paraId="595A9618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33CFAAD" w14:textId="177D9193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5697E29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207D89FB" w14:textId="77777777" w:rsidTr="00D34FAF">
        <w:trPr>
          <w:trHeight w:val="225"/>
        </w:trPr>
        <w:tc>
          <w:tcPr>
            <w:tcW w:w="2830" w:type="dxa"/>
          </w:tcPr>
          <w:p w14:paraId="6A87EDA1" w14:textId="05CCF1DB" w:rsidR="002D1235" w:rsidRPr="002D1235" w:rsidRDefault="002D1235" w:rsidP="002D1235">
            <w:pPr>
              <w:pStyle w:val="Tabletextbol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Primary market research</w:t>
            </w:r>
          </w:p>
        </w:tc>
        <w:tc>
          <w:tcPr>
            <w:tcW w:w="5714" w:type="dxa"/>
            <w:gridSpan w:val="3"/>
          </w:tcPr>
          <w:p w14:paraId="2579551A" w14:textId="3E215BA6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LG1: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recognise sources of primary research methods</w:t>
            </w:r>
          </w:p>
          <w:p w14:paraId="5205A1D2" w14:textId="5F6EDA5A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LG2: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select appropriate data when making marketing decisions</w:t>
            </w:r>
          </w:p>
          <w:p w14:paraId="7BB423BC" w14:textId="4A90DD7D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LG3: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interpret and analyse findings from primary research</w:t>
            </w:r>
          </w:p>
        </w:tc>
        <w:tc>
          <w:tcPr>
            <w:tcW w:w="726" w:type="dxa"/>
          </w:tcPr>
          <w:p w14:paraId="48CBD2DD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E6553F5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2052B885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7DA5FC0A" w14:textId="77777777" w:rsidTr="00D34FAF">
        <w:trPr>
          <w:trHeight w:val="225"/>
        </w:trPr>
        <w:tc>
          <w:tcPr>
            <w:tcW w:w="2830" w:type="dxa"/>
          </w:tcPr>
          <w:p w14:paraId="2F01FE6F" w14:textId="49E03AAD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Secondary market research</w:t>
            </w:r>
          </w:p>
        </w:tc>
        <w:tc>
          <w:tcPr>
            <w:tcW w:w="5714" w:type="dxa"/>
            <w:gridSpan w:val="3"/>
          </w:tcPr>
          <w:p w14:paraId="0FC9F960" w14:textId="084C06A6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LG1: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know internal and external secondary research methods</w:t>
            </w:r>
          </w:p>
          <w:p w14:paraId="41D8764A" w14:textId="2A689FD4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LG2: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select appropriate data when making marketing decisions</w:t>
            </w:r>
          </w:p>
          <w:p w14:paraId="7A8AB772" w14:textId="42FA7044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LG3: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interpret and analyse findings from secondary research</w:t>
            </w:r>
          </w:p>
        </w:tc>
        <w:tc>
          <w:tcPr>
            <w:tcW w:w="726" w:type="dxa"/>
          </w:tcPr>
          <w:p w14:paraId="36AC97CF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648C2BC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0063544F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7F55635A" w14:textId="77777777" w:rsidTr="00D34FAF">
        <w:trPr>
          <w:trHeight w:val="225"/>
        </w:trPr>
        <w:tc>
          <w:tcPr>
            <w:tcW w:w="2830" w:type="dxa"/>
          </w:tcPr>
          <w:p w14:paraId="34F3DC1C" w14:textId="3A37DB4F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Valid market research</w:t>
            </w:r>
          </w:p>
        </w:tc>
        <w:tc>
          <w:tcPr>
            <w:tcW w:w="5714" w:type="dxa"/>
            <w:gridSpan w:val="3"/>
          </w:tcPr>
          <w:p w14:paraId="12768A0A" w14:textId="6B1463BB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LG1: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know the Importance of validity, reliability, appropriateness, currency, cost.</w:t>
            </w:r>
          </w:p>
          <w:p w14:paraId="0726DDA9" w14:textId="0D0CF86E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LG1: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know the difference between Quantitative and qualitative data and when and where used.</w:t>
            </w:r>
          </w:p>
          <w:p w14:paraId="5115B296" w14:textId="704574CE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LG3:</w:t>
            </w:r>
            <w:r>
              <w:rPr>
                <w:rFonts w:ascii="Arial Narrow" w:hAnsi="Arial Narrow" w:cs="Verdana,Bold"/>
                <w:sz w:val="20"/>
                <w:szCs w:val="20"/>
              </w:rPr>
              <w:t xml:space="preserve"> To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 decide whether research is sufficient and focussed</w:t>
            </w:r>
          </w:p>
          <w:p w14:paraId="0A4FF0BF" w14:textId="16ACB406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LG2</w:t>
            </w:r>
            <w:r>
              <w:rPr>
                <w:rFonts w:ascii="Arial Narrow" w:hAnsi="Arial Narrow" w:cs="Verdana,Bold"/>
                <w:sz w:val="20"/>
                <w:szCs w:val="20"/>
              </w:rPr>
              <w:t>: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Verdana,Bold"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o select and extract key information when conducting research</w:t>
            </w:r>
          </w:p>
        </w:tc>
        <w:tc>
          <w:tcPr>
            <w:tcW w:w="726" w:type="dxa"/>
          </w:tcPr>
          <w:p w14:paraId="37D3894F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9475ED6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20E07FD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1670CAB8" w14:textId="77777777" w:rsidTr="00D34FAF">
        <w:trPr>
          <w:trHeight w:val="225"/>
        </w:trPr>
        <w:tc>
          <w:tcPr>
            <w:tcW w:w="2830" w:type="dxa"/>
          </w:tcPr>
          <w:p w14:paraId="12D1DAB7" w14:textId="6CB45419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Developing the rationale</w:t>
            </w:r>
          </w:p>
        </w:tc>
        <w:tc>
          <w:tcPr>
            <w:tcW w:w="5714" w:type="dxa"/>
            <w:gridSpan w:val="3"/>
          </w:tcPr>
          <w:p w14:paraId="4C292AAF" w14:textId="3DA3F65A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LG3:</w:t>
            </w:r>
            <w:r>
              <w:rPr>
                <w:rFonts w:ascii="Arial Narrow" w:hAnsi="Arial Narrow" w:cs="Verdana,Bold"/>
                <w:sz w:val="20"/>
                <w:szCs w:val="20"/>
              </w:rPr>
              <w:t xml:space="preserve"> </w:t>
            </w:r>
            <w:r w:rsidRPr="002D1235">
              <w:rPr>
                <w:rFonts w:ascii="Arial Narrow" w:hAnsi="Arial Narrow" w:cs="Verdana,Bold"/>
                <w:sz w:val="20"/>
                <w:szCs w:val="20"/>
              </w:rPr>
              <w:t>To interpret, analyse and use data and other information to make valid marketing decisions.</w:t>
            </w:r>
          </w:p>
          <w:p w14:paraId="625757CF" w14:textId="77777777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LG2: To identify any further sources of information that may be required.</w:t>
            </w:r>
          </w:p>
          <w:p w14:paraId="17C051F6" w14:textId="4BD0910A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LG3: To evaluate the reliability and validity of the information obtained.</w:t>
            </w:r>
          </w:p>
        </w:tc>
        <w:tc>
          <w:tcPr>
            <w:tcW w:w="726" w:type="dxa"/>
          </w:tcPr>
          <w:p w14:paraId="4814F5AD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6721C73C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15E53D63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0E06FFD5" w14:textId="77777777" w:rsidTr="00D34FAF">
        <w:trPr>
          <w:trHeight w:val="225"/>
        </w:trPr>
        <w:tc>
          <w:tcPr>
            <w:tcW w:w="2830" w:type="dxa"/>
          </w:tcPr>
          <w:p w14:paraId="001DC0D3" w14:textId="5D0B2C81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Developing the rationale</w:t>
            </w:r>
          </w:p>
        </w:tc>
        <w:tc>
          <w:tcPr>
            <w:tcW w:w="5714" w:type="dxa"/>
            <w:gridSpan w:val="3"/>
          </w:tcPr>
          <w:p w14:paraId="766A8489" w14:textId="5C838C23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LG3: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 xml:space="preserve">To interpret, </w:t>
            </w:r>
            <w:proofErr w:type="spellStart"/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analyse</w:t>
            </w:r>
            <w:proofErr w:type="spellEnd"/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 xml:space="preserve"> and use data and other information to make valid marketing decisions.</w:t>
            </w:r>
          </w:p>
          <w:p w14:paraId="6F6B82A3" w14:textId="77777777" w:rsidR="002D1235" w:rsidRPr="002D1235" w:rsidRDefault="002D1235" w:rsidP="002D1235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Arial Narrow" w:hAnsi="Arial Narrow"/>
                <w:lang w:val="en-US"/>
              </w:rPr>
            </w:pPr>
            <w:r w:rsidRPr="002D1235">
              <w:rPr>
                <w:rFonts w:ascii="Arial Narrow" w:hAnsi="Arial Narrow"/>
                <w:lang w:val="en-US"/>
              </w:rPr>
              <w:t>LG2: To identify any further sources of information that may be required.</w:t>
            </w:r>
          </w:p>
          <w:p w14:paraId="107B192D" w14:textId="65C6FDB6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LG3: To evaluate the reliability and validity of the information obtained.</w:t>
            </w:r>
          </w:p>
        </w:tc>
        <w:tc>
          <w:tcPr>
            <w:tcW w:w="726" w:type="dxa"/>
          </w:tcPr>
          <w:p w14:paraId="5D818181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C5215E0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041E0087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231EC6EA" w14:textId="77777777" w:rsidTr="00D34FAF">
        <w:trPr>
          <w:trHeight w:val="225"/>
        </w:trPr>
        <w:tc>
          <w:tcPr>
            <w:tcW w:w="2830" w:type="dxa"/>
          </w:tcPr>
          <w:p w14:paraId="3D91381D" w14:textId="28852C53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Product </w:t>
            </w:r>
            <w:r>
              <w:rPr>
                <w:rFonts w:asciiTheme="minorHAnsi" w:hAnsiTheme="minorHAnsi" w:cstheme="minorHAnsi"/>
                <w:b/>
                <w:bCs/>
              </w:rPr>
              <w:t>li</w:t>
            </w:r>
            <w:r>
              <w:rPr>
                <w:rFonts w:asciiTheme="minorHAnsi" w:hAnsiTheme="minorHAnsi" w:cstheme="minorHAnsi"/>
                <w:b/>
                <w:bCs/>
              </w:rPr>
              <w:t>fe cycle</w:t>
            </w:r>
          </w:p>
        </w:tc>
        <w:tc>
          <w:tcPr>
            <w:tcW w:w="5714" w:type="dxa"/>
            <w:gridSpan w:val="3"/>
          </w:tcPr>
          <w:p w14:paraId="6FC34FDC" w14:textId="0D2A74A4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 xml:space="preserve">LG1: 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2D1235">
              <w:rPr>
                <w:rFonts w:ascii="Arial Narrow" w:hAnsi="Arial Narrow"/>
                <w:sz w:val="20"/>
                <w:szCs w:val="20"/>
              </w:rPr>
              <w:t>o understand the concept and stages of the product life cycle</w:t>
            </w:r>
          </w:p>
          <w:p w14:paraId="32DB9938" w14:textId="3895DB59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 xml:space="preserve">LG1: 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2D1235">
              <w:rPr>
                <w:rFonts w:ascii="Arial Narrow" w:hAnsi="Arial Narrow"/>
                <w:sz w:val="20"/>
                <w:szCs w:val="20"/>
              </w:rPr>
              <w:t>o understand the use of extension strategies</w:t>
            </w:r>
          </w:p>
          <w:p w14:paraId="2D91BB35" w14:textId="49BEA74C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 xml:space="preserve">LG2: 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2D1235">
              <w:rPr>
                <w:rFonts w:ascii="Arial Narrow" w:hAnsi="Arial Narrow"/>
                <w:sz w:val="20"/>
                <w:szCs w:val="20"/>
              </w:rPr>
              <w:t>o apply stages of the PLC to example products</w:t>
            </w:r>
          </w:p>
          <w:p w14:paraId="0722910C" w14:textId="3C1A6AE4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LG3: To analyse the benefits and drawbacks of using the product life cycle model for making marketing decisions.</w:t>
            </w:r>
          </w:p>
        </w:tc>
        <w:tc>
          <w:tcPr>
            <w:tcW w:w="726" w:type="dxa"/>
          </w:tcPr>
          <w:p w14:paraId="54232B09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6436E284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289CD186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7EB3CDEB" w14:textId="77777777" w:rsidTr="00D34FAF">
        <w:trPr>
          <w:trHeight w:val="225"/>
        </w:trPr>
        <w:tc>
          <w:tcPr>
            <w:tcW w:w="2830" w:type="dxa"/>
          </w:tcPr>
          <w:p w14:paraId="0399BE2B" w14:textId="01932A5D" w:rsidR="002D1235" w:rsidRPr="002D1235" w:rsidRDefault="002D1235" w:rsidP="002D1235">
            <w:pPr>
              <w:pStyle w:val="Tabletextbold"/>
              <w:rPr>
                <w:rFonts w:ascii="Arial Narrow" w:hAnsi="Arial Narrow"/>
                <w:szCs w:val="20"/>
              </w:rPr>
            </w:pPr>
            <w:r w:rsidRPr="00654B4B">
              <w:rPr>
                <w:rFonts w:ascii="Arial Narrow" w:hAnsi="Arial Narrow"/>
                <w:szCs w:val="20"/>
              </w:rPr>
              <w:t>Marketing campaign activity</w:t>
            </w:r>
          </w:p>
        </w:tc>
        <w:tc>
          <w:tcPr>
            <w:tcW w:w="5714" w:type="dxa"/>
            <w:gridSpan w:val="3"/>
          </w:tcPr>
          <w:p w14:paraId="1CAC6AFE" w14:textId="77777777" w:rsidR="002D1235" w:rsidRPr="002D1235" w:rsidRDefault="002D1235" w:rsidP="002D1235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Arial Narrow" w:hAnsi="Arial Narrow"/>
                <w:lang w:val="en-US"/>
              </w:rPr>
            </w:pPr>
            <w:r w:rsidRPr="002D1235">
              <w:rPr>
                <w:rFonts w:ascii="Arial Narrow" w:hAnsi="Arial Narrow"/>
              </w:rPr>
              <w:t xml:space="preserve">LG2: To select </w:t>
            </w:r>
            <w:r w:rsidRPr="002D1235">
              <w:rPr>
                <w:rFonts w:ascii="Arial Narrow" w:hAnsi="Arial Narrow"/>
                <w:lang w:val="en-US"/>
              </w:rPr>
              <w:t>appropriate marketing aims and objectives to suit business goals.</w:t>
            </w:r>
          </w:p>
          <w:p w14:paraId="3C212733" w14:textId="522E9733" w:rsidR="002D1235" w:rsidRPr="002D1235" w:rsidRDefault="002D1235" w:rsidP="002D1235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Arial Narrow" w:hAnsi="Arial Narrow"/>
              </w:rPr>
            </w:pPr>
            <w:r w:rsidRPr="002D1235">
              <w:rPr>
                <w:rFonts w:ascii="Arial Narrow" w:eastAsiaTheme="minorHAnsi" w:hAnsi="Arial Narrow" w:cs="Verdana,Bold"/>
              </w:rPr>
              <w:t xml:space="preserve">LG3: To analyse the market using </w:t>
            </w:r>
            <w:r w:rsidRPr="002D1235">
              <w:rPr>
                <w:rFonts w:ascii="Arial Narrow" w:hAnsi="Arial Narrow"/>
              </w:rPr>
              <w:t>Situational analysis: SWOT and PESTLE.</w:t>
            </w:r>
          </w:p>
        </w:tc>
        <w:tc>
          <w:tcPr>
            <w:tcW w:w="726" w:type="dxa"/>
          </w:tcPr>
          <w:p w14:paraId="5EE9B67A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70A5630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7299508B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5097B90C" w14:textId="77777777" w:rsidTr="00D34FAF">
        <w:trPr>
          <w:trHeight w:val="225"/>
        </w:trPr>
        <w:tc>
          <w:tcPr>
            <w:tcW w:w="2830" w:type="dxa"/>
          </w:tcPr>
          <w:p w14:paraId="52EFA017" w14:textId="2DD239BE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Use of research data</w:t>
            </w:r>
          </w:p>
        </w:tc>
        <w:tc>
          <w:tcPr>
            <w:tcW w:w="5714" w:type="dxa"/>
            <w:gridSpan w:val="3"/>
          </w:tcPr>
          <w:p w14:paraId="0AA518F2" w14:textId="672B6A03" w:rsidR="002D1235" w:rsidRPr="002D1235" w:rsidRDefault="002D1235" w:rsidP="002D1235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ind w:left="340" w:hanging="340"/>
              <w:textAlignment w:val="baseline"/>
              <w:rPr>
                <w:rFonts w:ascii="Arial Narrow" w:hAnsi="Arial Narrow"/>
              </w:rPr>
            </w:pPr>
            <w:r w:rsidRPr="002D1235">
              <w:rPr>
                <w:rFonts w:ascii="Arial Narrow" w:hAnsi="Arial Narrow"/>
              </w:rPr>
              <w:t xml:space="preserve">LG2: </w:t>
            </w:r>
            <w:r>
              <w:rPr>
                <w:rFonts w:ascii="Arial Narrow" w:hAnsi="Arial Narrow"/>
              </w:rPr>
              <w:t>To</w:t>
            </w:r>
            <w:r w:rsidRPr="002D1235">
              <w:rPr>
                <w:rFonts w:ascii="Arial Narrow" w:hAnsi="Arial Narrow"/>
              </w:rPr>
              <w:t xml:space="preserve"> collect relevant data on competitors</w:t>
            </w:r>
          </w:p>
          <w:p w14:paraId="4DDD659A" w14:textId="0D5D49DC" w:rsidR="002D1235" w:rsidRPr="002D1235" w:rsidRDefault="002D1235" w:rsidP="002D1235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ind w:left="340" w:hanging="340"/>
              <w:textAlignment w:val="baseline"/>
              <w:rPr>
                <w:rFonts w:ascii="Arial Narrow" w:hAnsi="Arial Narrow"/>
              </w:rPr>
            </w:pPr>
            <w:r w:rsidRPr="002D1235">
              <w:rPr>
                <w:rFonts w:ascii="Arial Narrow" w:hAnsi="Arial Narrow"/>
              </w:rPr>
              <w:t xml:space="preserve">LG3: </w:t>
            </w:r>
            <w:r>
              <w:rPr>
                <w:rFonts w:ascii="Arial Narrow" w:hAnsi="Arial Narrow"/>
              </w:rPr>
              <w:t>T</w:t>
            </w:r>
            <w:r w:rsidRPr="002D1235">
              <w:rPr>
                <w:rFonts w:ascii="Arial Narrow" w:hAnsi="Arial Narrow"/>
              </w:rPr>
              <w:t>o analyse competitors through a competitor analysis - SWOT analysis</w:t>
            </w:r>
          </w:p>
        </w:tc>
        <w:tc>
          <w:tcPr>
            <w:tcW w:w="726" w:type="dxa"/>
          </w:tcPr>
          <w:p w14:paraId="418F9738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3CA903C1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3B01D6BC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7C3188CD" w14:textId="77777777" w:rsidTr="00D34FAF">
        <w:trPr>
          <w:trHeight w:val="225"/>
        </w:trPr>
        <w:tc>
          <w:tcPr>
            <w:tcW w:w="2830" w:type="dxa"/>
          </w:tcPr>
          <w:p w14:paraId="67A2D786" w14:textId="41D47430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Marketing mix: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product</w:t>
            </w:r>
          </w:p>
        </w:tc>
        <w:tc>
          <w:tcPr>
            <w:tcW w:w="5714" w:type="dxa"/>
            <w:gridSpan w:val="3"/>
          </w:tcPr>
          <w:p w14:paraId="41D5B376" w14:textId="77777777" w:rsidR="002D1235" w:rsidRPr="002D1235" w:rsidRDefault="002D1235" w:rsidP="002D1235">
            <w:pPr>
              <w:pStyle w:val="Tablebullets"/>
              <w:numPr>
                <w:ilvl w:val="0"/>
                <w:numId w:val="0"/>
              </w:numPr>
              <w:spacing w:after="0" w:line="240" w:lineRule="auto"/>
              <w:textAlignment w:val="baseline"/>
              <w:rPr>
                <w:rFonts w:ascii="Arial Narrow" w:hAnsi="Arial Narrow" w:cstheme="minorHAnsi"/>
                <w:bCs/>
              </w:rPr>
            </w:pPr>
            <w:r w:rsidRPr="002D1235">
              <w:rPr>
                <w:rFonts w:ascii="Arial Narrow" w:hAnsi="Arial Narrow" w:cstheme="minorHAnsi"/>
                <w:bCs/>
              </w:rPr>
              <w:t>LG1: To know what is included in the product (e.g. brand identity, packaging, the form and function of the product).</w:t>
            </w:r>
          </w:p>
          <w:p w14:paraId="3E529374" w14:textId="77777777" w:rsidR="002D1235" w:rsidRPr="002D1235" w:rsidRDefault="002D1235" w:rsidP="002D1235">
            <w:pPr>
              <w:pStyle w:val="Tablebullets"/>
              <w:numPr>
                <w:ilvl w:val="0"/>
                <w:numId w:val="0"/>
              </w:numPr>
              <w:spacing w:after="0" w:line="240" w:lineRule="auto"/>
              <w:textAlignment w:val="baseline"/>
              <w:rPr>
                <w:rFonts w:ascii="Arial Narrow" w:hAnsi="Arial Narrow" w:cstheme="minorHAnsi"/>
                <w:bCs/>
              </w:rPr>
            </w:pPr>
            <w:r w:rsidRPr="002D1235">
              <w:rPr>
                <w:rFonts w:ascii="Arial Narrow" w:hAnsi="Arial Narrow" w:cstheme="minorHAnsi"/>
                <w:bCs/>
              </w:rPr>
              <w:t xml:space="preserve">LG2 To apply the product development stage of the product life cycle. </w:t>
            </w:r>
          </w:p>
          <w:p w14:paraId="6D332B89" w14:textId="00EF9DF7" w:rsidR="002D1235" w:rsidRPr="002D1235" w:rsidRDefault="002D1235" w:rsidP="002D1235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Arial Narrow" w:hAnsi="Arial Narrow" w:cstheme="minorHAnsi"/>
                <w:bCs/>
              </w:rPr>
            </w:pPr>
            <w:r w:rsidRPr="002D1235">
              <w:rPr>
                <w:rFonts w:ascii="Arial Narrow" w:hAnsi="Arial Narrow" w:cstheme="minorHAnsi"/>
                <w:bCs/>
              </w:rPr>
              <w:t>LG3: To explain the use of market research in market-led development.</w:t>
            </w:r>
          </w:p>
        </w:tc>
        <w:tc>
          <w:tcPr>
            <w:tcW w:w="726" w:type="dxa"/>
          </w:tcPr>
          <w:p w14:paraId="5F1A0A46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50901AA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45918F41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5B15C279" w14:textId="77777777" w:rsidTr="00D34FAF">
        <w:trPr>
          <w:trHeight w:val="225"/>
        </w:trPr>
        <w:tc>
          <w:tcPr>
            <w:tcW w:w="2830" w:type="dxa"/>
          </w:tcPr>
          <w:p w14:paraId="135A18A9" w14:textId="4F4CE8CB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Marketing mix: Price</w:t>
            </w:r>
          </w:p>
        </w:tc>
        <w:tc>
          <w:tcPr>
            <w:tcW w:w="5714" w:type="dxa"/>
            <w:gridSpan w:val="3"/>
          </w:tcPr>
          <w:p w14:paraId="5CAB803A" w14:textId="03CF714C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LG1: To know the different pricing strategies used by businesses</w:t>
            </w:r>
          </w:p>
          <w:p w14:paraId="08DC4DD3" w14:textId="1976F631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LG2: To give examples of businesses/products that use different strategies</w:t>
            </w:r>
          </w:p>
          <w:p w14:paraId="0270CC5D" w14:textId="16DF433A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 xml:space="preserve">LG3: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T</w:t>
            </w: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analy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e</w:t>
            </w:r>
            <w:proofErr w:type="spellEnd"/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 xml:space="preserve"> the advantages and </w:t>
            </w: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disadvantages</w:t>
            </w: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 xml:space="preserve"> of different pricing strategies in different scenarios.</w:t>
            </w:r>
          </w:p>
        </w:tc>
        <w:tc>
          <w:tcPr>
            <w:tcW w:w="726" w:type="dxa"/>
          </w:tcPr>
          <w:p w14:paraId="3C5CAB68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A288149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0EF4A976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335E35CD" w14:textId="77777777" w:rsidTr="00D34FAF">
        <w:trPr>
          <w:trHeight w:val="225"/>
        </w:trPr>
        <w:tc>
          <w:tcPr>
            <w:tcW w:w="2830" w:type="dxa"/>
          </w:tcPr>
          <w:p w14:paraId="6CD2750B" w14:textId="548BA02B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Marketing mix: Place</w:t>
            </w:r>
          </w:p>
        </w:tc>
        <w:tc>
          <w:tcPr>
            <w:tcW w:w="5714" w:type="dxa"/>
            <w:gridSpan w:val="3"/>
          </w:tcPr>
          <w:p w14:paraId="0B19DDF6" w14:textId="69DD095A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LG1: 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o know the advantages and disadvantages of a range of distribution channels</w:t>
            </w:r>
          </w:p>
          <w:p w14:paraId="0AC97C5A" w14:textId="636DD402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LG2: 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o give examples of the types of products that suit different channels and the target markets served by each channel</w:t>
            </w:r>
          </w:p>
          <w:p w14:paraId="60E12613" w14:textId="3563CD50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LG3: </w:t>
            </w:r>
            <w:r>
              <w:rPr>
                <w:rFonts w:ascii="Arial Narrow" w:hAnsi="Arial Narrow" w:cstheme="minorHAnsi"/>
                <w:bCs/>
                <w:sz w:val="20"/>
                <w:szCs w:val="20"/>
              </w:rPr>
              <w:t>T</w:t>
            </w:r>
            <w:r w:rsidRPr="002D1235">
              <w:rPr>
                <w:rFonts w:ascii="Arial Narrow" w:hAnsi="Arial Narrow" w:cstheme="minorHAnsi"/>
                <w:bCs/>
                <w:sz w:val="20"/>
                <w:szCs w:val="20"/>
              </w:rPr>
              <w:t>o discuss examples of the extended marketing mix, such as people, the physical environment and the processes used to sell the product</w:t>
            </w:r>
          </w:p>
        </w:tc>
        <w:tc>
          <w:tcPr>
            <w:tcW w:w="726" w:type="dxa"/>
          </w:tcPr>
          <w:p w14:paraId="387E8324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6879C68E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22C3248F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407790AA" w14:textId="77777777" w:rsidTr="00D34FAF">
        <w:trPr>
          <w:trHeight w:val="225"/>
        </w:trPr>
        <w:tc>
          <w:tcPr>
            <w:tcW w:w="2830" w:type="dxa"/>
          </w:tcPr>
          <w:p w14:paraId="4042C7A0" w14:textId="0B8C6518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Marketing message</w:t>
            </w:r>
          </w:p>
        </w:tc>
        <w:tc>
          <w:tcPr>
            <w:tcW w:w="5714" w:type="dxa"/>
            <w:gridSpan w:val="3"/>
          </w:tcPr>
          <w:p w14:paraId="386FE77F" w14:textId="3C9F14AB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LG1: To understand the purpose of a marketing message</w:t>
            </w:r>
          </w:p>
          <w:p w14:paraId="78075F51" w14:textId="3DE8C36E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,Bold"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LG2: To create a marketing message for a case study business</w:t>
            </w:r>
          </w:p>
          <w:p w14:paraId="5CF109E8" w14:textId="4DE09ACA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 w:cs="Verdana,Bold"/>
                <w:sz w:val="20"/>
                <w:szCs w:val="20"/>
              </w:rPr>
              <w:t>LG3: To evaluate the success of marketing messages</w:t>
            </w:r>
          </w:p>
        </w:tc>
        <w:tc>
          <w:tcPr>
            <w:tcW w:w="726" w:type="dxa"/>
          </w:tcPr>
          <w:p w14:paraId="2615FFBF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3500FC88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01E4C573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76D1C3A9" w14:textId="77777777" w:rsidTr="00D34FAF">
        <w:trPr>
          <w:trHeight w:val="225"/>
        </w:trPr>
        <w:tc>
          <w:tcPr>
            <w:tcW w:w="2830" w:type="dxa"/>
          </w:tcPr>
          <w:p w14:paraId="00BBDDEE" w14:textId="240F0A89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Selection of appropriate mix</w:t>
            </w:r>
          </w:p>
        </w:tc>
        <w:tc>
          <w:tcPr>
            <w:tcW w:w="5714" w:type="dxa"/>
            <w:gridSpan w:val="3"/>
          </w:tcPr>
          <w:p w14:paraId="05BEEF8E" w14:textId="49647C33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LG1: To know the elements of the extended marketing mix</w:t>
            </w:r>
          </w:p>
          <w:p w14:paraId="4E4213BF" w14:textId="23CCB54D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 xml:space="preserve">LG2: To select an </w:t>
            </w:r>
            <w:r w:rsidRPr="002D1235">
              <w:rPr>
                <w:rFonts w:ascii="Arial Narrow" w:hAnsi="Arial Narrow"/>
                <w:sz w:val="20"/>
                <w:szCs w:val="20"/>
              </w:rPr>
              <w:t>appropriate</w:t>
            </w:r>
            <w:r w:rsidRPr="002D1235">
              <w:rPr>
                <w:rFonts w:ascii="Arial Narrow" w:hAnsi="Arial Narrow"/>
                <w:sz w:val="20"/>
                <w:szCs w:val="20"/>
              </w:rPr>
              <w:t xml:space="preserve"> marketing mix</w:t>
            </w:r>
          </w:p>
          <w:p w14:paraId="0B881A44" w14:textId="4F225049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 xml:space="preserve">LG3: To analyse the reasons for selecting elements of the marketing mix </w:t>
            </w:r>
          </w:p>
          <w:p w14:paraId="423DB03A" w14:textId="34B50D15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D1235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D1235">
              <w:rPr>
                <w:rFonts w:ascii="Arial Narrow" w:hAnsi="Arial Narrow"/>
                <w:sz w:val="20"/>
                <w:szCs w:val="20"/>
              </w:rPr>
              <w:t>To evaluate the success of the marketing mix – support with evidence</w:t>
            </w:r>
          </w:p>
        </w:tc>
        <w:tc>
          <w:tcPr>
            <w:tcW w:w="726" w:type="dxa"/>
          </w:tcPr>
          <w:p w14:paraId="539E86D3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3A72539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3E4BA3A5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4EE7DE79" w14:textId="77777777" w:rsidTr="00D34FAF">
        <w:trPr>
          <w:trHeight w:val="225"/>
        </w:trPr>
        <w:tc>
          <w:tcPr>
            <w:tcW w:w="2830" w:type="dxa"/>
          </w:tcPr>
          <w:p w14:paraId="684C189D" w14:textId="7013E1D0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Selection of appropriate media</w:t>
            </w:r>
          </w:p>
        </w:tc>
        <w:tc>
          <w:tcPr>
            <w:tcW w:w="5714" w:type="dxa"/>
            <w:gridSpan w:val="3"/>
          </w:tcPr>
          <w:p w14:paraId="0C95BA2C" w14:textId="77777777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LG1: To understand the different media chosen by a business</w:t>
            </w:r>
          </w:p>
          <w:p w14:paraId="6713EB05" w14:textId="77777777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LG2: To select appropriate media for the campaign</w:t>
            </w:r>
          </w:p>
          <w:p w14:paraId="4A59205E" w14:textId="545D6142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LG3: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D1235">
              <w:rPr>
                <w:rFonts w:ascii="Arial Narrow" w:hAnsi="Arial Narrow"/>
                <w:sz w:val="20"/>
                <w:szCs w:val="20"/>
              </w:rPr>
              <w:t>To analyse and evaluate the suitability of the media</w:t>
            </w:r>
          </w:p>
        </w:tc>
        <w:tc>
          <w:tcPr>
            <w:tcW w:w="726" w:type="dxa"/>
          </w:tcPr>
          <w:p w14:paraId="583B8E1D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7FC7D1D0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2FC90C41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22D9E354" w14:textId="77777777" w:rsidTr="00D34FAF">
        <w:trPr>
          <w:trHeight w:val="225"/>
        </w:trPr>
        <w:tc>
          <w:tcPr>
            <w:tcW w:w="2830" w:type="dxa"/>
          </w:tcPr>
          <w:p w14:paraId="304E9F06" w14:textId="45CAE3AB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Campaign budget</w:t>
            </w:r>
          </w:p>
        </w:tc>
        <w:tc>
          <w:tcPr>
            <w:tcW w:w="5714" w:type="dxa"/>
            <w:gridSpan w:val="3"/>
          </w:tcPr>
          <w:p w14:paraId="1156699D" w14:textId="77777777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LG2: To produce a relevant campaign budget</w:t>
            </w:r>
          </w:p>
          <w:p w14:paraId="53378591" w14:textId="3B1E614F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LG2: To establish appropriate timelines for the campaign</w:t>
            </w:r>
          </w:p>
        </w:tc>
        <w:tc>
          <w:tcPr>
            <w:tcW w:w="726" w:type="dxa"/>
          </w:tcPr>
          <w:p w14:paraId="140BE418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273A2D16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7DE05997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0AF5DC02" w14:textId="77777777" w:rsidTr="00D34FAF">
        <w:trPr>
          <w:trHeight w:val="225"/>
        </w:trPr>
        <w:tc>
          <w:tcPr>
            <w:tcW w:w="2830" w:type="dxa"/>
          </w:tcPr>
          <w:p w14:paraId="1BF2CF88" w14:textId="138D01BF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Evaluation</w:t>
            </w:r>
          </w:p>
        </w:tc>
        <w:tc>
          <w:tcPr>
            <w:tcW w:w="5714" w:type="dxa"/>
            <w:gridSpan w:val="3"/>
          </w:tcPr>
          <w:p w14:paraId="4D1048DB" w14:textId="02AA2516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LG2: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2D1235">
              <w:rPr>
                <w:rFonts w:ascii="Arial Narrow" w:hAnsi="Arial Narrow"/>
                <w:sz w:val="20"/>
                <w:szCs w:val="20"/>
                <w:lang w:val="en-US"/>
              </w:rPr>
              <w:t>To select appropriate methods to evaluate the campaign</w:t>
            </w:r>
          </w:p>
        </w:tc>
        <w:tc>
          <w:tcPr>
            <w:tcW w:w="726" w:type="dxa"/>
          </w:tcPr>
          <w:p w14:paraId="04C7D919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1E037E7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11CD45A7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1235" w:rsidRPr="004108D7" w14:paraId="78FA0DE3" w14:textId="77777777" w:rsidTr="00D34FAF">
        <w:trPr>
          <w:trHeight w:val="225"/>
        </w:trPr>
        <w:tc>
          <w:tcPr>
            <w:tcW w:w="2830" w:type="dxa"/>
          </w:tcPr>
          <w:p w14:paraId="1505F605" w14:textId="0E7A3BCB" w:rsidR="002D1235" w:rsidRDefault="002D1235" w:rsidP="002D1235">
            <w:pPr>
              <w:pStyle w:val="tex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Appropriateness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of campaign</w:t>
            </w:r>
          </w:p>
        </w:tc>
        <w:tc>
          <w:tcPr>
            <w:tcW w:w="5714" w:type="dxa"/>
            <w:gridSpan w:val="3"/>
          </w:tcPr>
          <w:p w14:paraId="20BBE79F" w14:textId="2C65CFBF" w:rsidR="002D1235" w:rsidRPr="002D1235" w:rsidRDefault="002D1235" w:rsidP="002D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D1235">
              <w:rPr>
                <w:rFonts w:ascii="Arial Narrow" w:hAnsi="Arial Narrow"/>
                <w:sz w:val="20"/>
                <w:szCs w:val="20"/>
              </w:rPr>
              <w:t>LG3: To be able to evaluate the appropriateness of a marketing campaign</w:t>
            </w:r>
          </w:p>
        </w:tc>
        <w:tc>
          <w:tcPr>
            <w:tcW w:w="726" w:type="dxa"/>
          </w:tcPr>
          <w:p w14:paraId="63B19561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2EBC832E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1101467E" w14:textId="77777777" w:rsidR="002D1235" w:rsidRPr="004108D7" w:rsidRDefault="002D1235" w:rsidP="002D123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0205C42" w14:textId="40788358" w:rsidR="004108D7" w:rsidRDefault="002D1235">
      <w:pPr>
        <w:rPr>
          <w:rFonts w:cstheme="minorHAnsi"/>
          <w:bCs/>
          <w:sz w:val="20"/>
          <w:szCs w:val="20"/>
        </w:rPr>
      </w:pPr>
      <w:r w:rsidRPr="004108D7">
        <w:rPr>
          <w:rFonts w:cstheme="minorHAnsi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A539903">
                <wp:simplePos x="0" y="0"/>
                <wp:positionH relativeFrom="margin">
                  <wp:align>center</wp:align>
                </wp:positionH>
                <wp:positionV relativeFrom="paragraph">
                  <wp:posOffset>7039610</wp:posOffset>
                </wp:positionV>
                <wp:extent cx="6734175" cy="1990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F27F8A" w:rsidRDefault="007D0FDE" w:rsidP="00E96AE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62DD2102" w14:textId="5A1D6FE8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Prior Knowledge: 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This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 xml:space="preserve">is taught </w:t>
                            </w:r>
                            <w:r w:rsidR="002D1235">
                              <w:rPr>
                                <w:rFonts w:cstheme="minorHAnsi"/>
                                <w:sz w:val="20"/>
                              </w:rPr>
                              <w:t>after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 xml:space="preserve"> Unit 1 some basic knowledge on ownership and size/scale will support learning in this unit.</w:t>
                            </w:r>
                            <w:r w:rsidR="00682A6E">
                              <w:rPr>
                                <w:rFonts w:cstheme="minorHAnsi"/>
                                <w:sz w:val="20"/>
                              </w:rPr>
                              <w:t xml:space="preserve"> The unit is a synoptic exam and draws on wider knowledge from across the course.</w:t>
                            </w:r>
                          </w:p>
                          <w:p w14:paraId="58483D57" w14:textId="77777777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>Future knowledge:</w:t>
                            </w:r>
                          </w:p>
                          <w:p w14:paraId="666616DC" w14:textId="7C9AF576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Knowledge of </w:t>
                            </w:r>
                            <w:r w:rsidR="00682A6E">
                              <w:rPr>
                                <w:rFonts w:cstheme="minorHAnsi"/>
                                <w:sz w:val="20"/>
                              </w:rPr>
                              <w:t>marketing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 xml:space="preserve"> decisions </w:t>
                            </w:r>
                            <w:r w:rsidR="00682A6E">
                              <w:rPr>
                                <w:rFonts w:cstheme="minorHAnsi"/>
                                <w:sz w:val="20"/>
                              </w:rPr>
                              <w:t xml:space="preserve">will feature in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Unit 4. Financ</w:t>
                            </w:r>
                            <w:r w:rsidR="00682A6E">
                              <w:rPr>
                                <w:rFonts w:cstheme="minorHAnsi"/>
                                <w:sz w:val="20"/>
                              </w:rPr>
                              <w:t>ial concepts such as budgeting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 xml:space="preserve"> will be developed with RMC in Finance units</w:t>
                            </w:r>
                            <w:r w:rsidR="00682A6E">
                              <w:rPr>
                                <w:rFonts w:cstheme="minorHAnsi"/>
                                <w:sz w:val="20"/>
                              </w:rPr>
                              <w:t xml:space="preserve"> and is also considered in Unit 4.</w:t>
                            </w:r>
                          </w:p>
                          <w:p w14:paraId="7587D11B" w14:textId="0F9AD3AC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Throughout the course you will need to apply knowledge to 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>your businesses selected in the assignment units and apply knowledge to given businesses in the exam units.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 xml:space="preserve"> This unit requires extensive application </w:t>
                            </w:r>
                            <w:r w:rsidR="002D1235">
                              <w:rPr>
                                <w:rFonts w:cstheme="minorHAnsi"/>
                                <w:sz w:val="20"/>
                              </w:rPr>
                              <w:t xml:space="preserve">to one case study business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 xml:space="preserve">which will </w:t>
                            </w:r>
                            <w:r w:rsidR="002D1235">
                              <w:rPr>
                                <w:rFonts w:cstheme="minorHAnsi"/>
                                <w:sz w:val="20"/>
                              </w:rPr>
                              <w:t xml:space="preserve">assessed in </w:t>
                            </w:r>
                            <w:proofErr w:type="spellStart"/>
                            <w:proofErr w:type="gramStart"/>
                            <w:r w:rsidR="002D1235">
                              <w:rPr>
                                <w:rFonts w:cstheme="minorHAnsi"/>
                                <w:sz w:val="20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2D1235">
                              <w:rPr>
                                <w:rFonts w:cstheme="minorHAnsi"/>
                                <w:sz w:val="20"/>
                              </w:rPr>
                              <w:t xml:space="preserve"> exam.</w:t>
                            </w:r>
                          </w:p>
                          <w:p w14:paraId="34806E5B" w14:textId="03F6BEE4" w:rsidR="00E96AE5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LG3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Development of analysis and evaluation is vital for making business judgements throughout the course and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this skill is developed in this unit</w:t>
                            </w:r>
                            <w:r w:rsidR="00682A6E">
                              <w:rPr>
                                <w:rFonts w:cstheme="minorHAnsi"/>
                                <w:sz w:val="20"/>
                              </w:rPr>
                              <w:t xml:space="preserve"> and assessed in the exam.</w:t>
                            </w:r>
                          </w:p>
                          <w:p w14:paraId="08286F19" w14:textId="2E1DFB3B" w:rsidR="00011491" w:rsidRPr="00F27F8A" w:rsidRDefault="00011491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LG3: Independent research skills are also developed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54.3pt;width:530.25pt;height:156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8TQ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" fillcolor="white [3201]" strokeweight="1.5pt">
                <v:textbox>
                  <w:txbxContent>
                    <w:p w14:paraId="092FFFBE" w14:textId="53C2010D" w:rsidR="00471B37" w:rsidRPr="00F27F8A" w:rsidRDefault="007D0FDE" w:rsidP="00E96AE5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Links: </w:t>
                      </w:r>
                    </w:p>
                    <w:p w14:paraId="62DD2102" w14:textId="5A1D6FE8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Prior Knowledge: 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This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 xml:space="preserve">is taught </w:t>
                      </w:r>
                      <w:r w:rsidR="002D1235">
                        <w:rPr>
                          <w:rFonts w:cstheme="minorHAnsi"/>
                          <w:sz w:val="20"/>
                        </w:rPr>
                        <w:t>after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 xml:space="preserve"> Unit 1 some basic knowledge on ownership and size/scale will support learning in this unit.</w:t>
                      </w:r>
                      <w:r w:rsidR="00682A6E">
                        <w:rPr>
                          <w:rFonts w:cstheme="minorHAnsi"/>
                          <w:sz w:val="20"/>
                        </w:rPr>
                        <w:t xml:space="preserve"> The unit is a synoptic exam and draws on wider knowledge from across the course.</w:t>
                      </w:r>
                    </w:p>
                    <w:p w14:paraId="58483D57" w14:textId="77777777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>Future knowledge:</w:t>
                      </w:r>
                    </w:p>
                    <w:p w14:paraId="666616DC" w14:textId="7C9AF576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LG1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Knowledge of </w:t>
                      </w:r>
                      <w:r w:rsidR="00682A6E">
                        <w:rPr>
                          <w:rFonts w:cstheme="minorHAnsi"/>
                          <w:sz w:val="20"/>
                        </w:rPr>
                        <w:t>marketing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 xml:space="preserve"> decisions </w:t>
                      </w:r>
                      <w:r w:rsidR="00682A6E">
                        <w:rPr>
                          <w:rFonts w:cstheme="minorHAnsi"/>
                          <w:sz w:val="20"/>
                        </w:rPr>
                        <w:t xml:space="preserve">will feature in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Unit 4. Financ</w:t>
                      </w:r>
                      <w:r w:rsidR="00682A6E">
                        <w:rPr>
                          <w:rFonts w:cstheme="minorHAnsi"/>
                          <w:sz w:val="20"/>
                        </w:rPr>
                        <w:t>ial concepts such as budgeting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 xml:space="preserve"> will be developed with RMC in Finance units</w:t>
                      </w:r>
                      <w:r w:rsidR="00682A6E">
                        <w:rPr>
                          <w:rFonts w:cstheme="minorHAnsi"/>
                          <w:sz w:val="20"/>
                        </w:rPr>
                        <w:t xml:space="preserve"> and is also considered in Unit 4.</w:t>
                      </w:r>
                    </w:p>
                    <w:p w14:paraId="7587D11B" w14:textId="0F9AD3AC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LG2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Throughout the course you will need to apply knowledge to 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>your businesses selected in the assignment units and apply knowledge to given businesses in the exam units.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 xml:space="preserve"> This unit requires extensive application </w:t>
                      </w:r>
                      <w:r w:rsidR="002D1235">
                        <w:rPr>
                          <w:rFonts w:cstheme="minorHAnsi"/>
                          <w:sz w:val="20"/>
                        </w:rPr>
                        <w:t xml:space="preserve">to one case study business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 xml:space="preserve">which will </w:t>
                      </w:r>
                      <w:r w:rsidR="002D1235">
                        <w:rPr>
                          <w:rFonts w:cstheme="minorHAnsi"/>
                          <w:sz w:val="20"/>
                        </w:rPr>
                        <w:t xml:space="preserve">assessed in </w:t>
                      </w:r>
                      <w:proofErr w:type="spellStart"/>
                      <w:proofErr w:type="gramStart"/>
                      <w:r w:rsidR="002D1235">
                        <w:rPr>
                          <w:rFonts w:cstheme="minorHAnsi"/>
                          <w:sz w:val="20"/>
                        </w:rPr>
                        <w:t>a</w:t>
                      </w:r>
                      <w:proofErr w:type="spellEnd"/>
                      <w:proofErr w:type="gramEnd"/>
                      <w:r w:rsidR="002D1235">
                        <w:rPr>
                          <w:rFonts w:cstheme="minorHAnsi"/>
                          <w:sz w:val="20"/>
                        </w:rPr>
                        <w:t xml:space="preserve"> exam.</w:t>
                      </w:r>
                    </w:p>
                    <w:p w14:paraId="34806E5B" w14:textId="03F6BEE4" w:rsidR="00E96AE5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LG3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Development of analysis and evaluation is vital for making business judgements throughout the course and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this skill is developed in this unit</w:t>
                      </w:r>
                      <w:r w:rsidR="00682A6E">
                        <w:rPr>
                          <w:rFonts w:cstheme="minorHAnsi"/>
                          <w:sz w:val="20"/>
                        </w:rPr>
                        <w:t xml:space="preserve"> and assessed in the exam.</w:t>
                      </w:r>
                    </w:p>
                    <w:p w14:paraId="08286F19" w14:textId="2E1DFB3B" w:rsidR="00011491" w:rsidRPr="00F27F8A" w:rsidRDefault="00011491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LG3: Independent research skills are also developed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8FA2B" w14:textId="571363F4" w:rsidR="004108D7" w:rsidRDefault="004108D7">
      <w:pPr>
        <w:rPr>
          <w:rFonts w:cstheme="minorHAnsi"/>
          <w:bCs/>
          <w:sz w:val="20"/>
          <w:szCs w:val="20"/>
        </w:rPr>
      </w:pPr>
    </w:p>
    <w:p w14:paraId="00A0CD7B" w14:textId="517979CC" w:rsidR="004108D7" w:rsidRDefault="004108D7">
      <w:pPr>
        <w:rPr>
          <w:rFonts w:cstheme="minorHAnsi"/>
          <w:bCs/>
          <w:sz w:val="20"/>
          <w:szCs w:val="20"/>
        </w:rPr>
      </w:pPr>
    </w:p>
    <w:p w14:paraId="3B2DFAE8" w14:textId="07A67BA6" w:rsidR="004108D7" w:rsidRDefault="004108D7">
      <w:pPr>
        <w:rPr>
          <w:rFonts w:cstheme="minorHAnsi"/>
          <w:bCs/>
          <w:sz w:val="20"/>
          <w:szCs w:val="20"/>
        </w:rPr>
      </w:pPr>
    </w:p>
    <w:p w14:paraId="7B8FD60D" w14:textId="3E904A20" w:rsidR="004108D7" w:rsidRDefault="004108D7">
      <w:pPr>
        <w:rPr>
          <w:rFonts w:cstheme="minorHAnsi"/>
          <w:bCs/>
          <w:sz w:val="20"/>
          <w:szCs w:val="20"/>
        </w:rPr>
      </w:pPr>
    </w:p>
    <w:p w14:paraId="07C723F2" w14:textId="5437E2E2" w:rsidR="00471B37" w:rsidRPr="004108D7" w:rsidRDefault="00471B37">
      <w:pPr>
        <w:rPr>
          <w:rFonts w:cstheme="minorHAnsi"/>
          <w:bCs/>
          <w:sz w:val="20"/>
          <w:szCs w:val="20"/>
        </w:rPr>
      </w:pPr>
    </w:p>
    <w:sectPr w:rsidR="00471B37" w:rsidRPr="004108D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4EA4"/>
    <w:multiLevelType w:val="multilevel"/>
    <w:tmpl w:val="AC2CA0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63CF9"/>
    <w:multiLevelType w:val="hybridMultilevel"/>
    <w:tmpl w:val="D59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63B"/>
    <w:multiLevelType w:val="hybridMultilevel"/>
    <w:tmpl w:val="3D28A976"/>
    <w:lvl w:ilvl="0" w:tplc="591E5DDC">
      <w:start w:val="1"/>
      <w:numFmt w:val="bullet"/>
      <w:lvlText w:val="–"/>
      <w:lvlJc w:val="left"/>
      <w:pPr>
        <w:tabs>
          <w:tab w:val="num" w:pos="240"/>
        </w:tabs>
        <w:ind w:left="240" w:firstLine="240"/>
      </w:pPr>
      <w:rPr>
        <w:rFonts w:ascii="Verdana" w:hAnsi="Verdana" w:hint="default"/>
      </w:rPr>
    </w:lvl>
    <w:lvl w:ilvl="1" w:tplc="BB9CCC6A">
      <w:start w:val="1"/>
      <w:numFmt w:val="bullet"/>
      <w:pStyle w:val="tablebulletsthirdlevel"/>
      <w:lvlText w:val="–"/>
      <w:lvlJc w:val="left"/>
      <w:pPr>
        <w:tabs>
          <w:tab w:val="num" w:pos="720"/>
        </w:tabs>
        <w:ind w:left="720" w:hanging="24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A52E29"/>
    <w:multiLevelType w:val="hybridMultilevel"/>
    <w:tmpl w:val="3EC217D8"/>
    <w:lvl w:ilvl="0" w:tplc="08090001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3590B"/>
    <w:multiLevelType w:val="hybridMultilevel"/>
    <w:tmpl w:val="AC62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57221B"/>
    <w:multiLevelType w:val="hybridMultilevel"/>
    <w:tmpl w:val="330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027A1"/>
    <w:multiLevelType w:val="hybridMultilevel"/>
    <w:tmpl w:val="DA5EFDCC"/>
    <w:lvl w:ilvl="0" w:tplc="262854BC">
      <w:start w:val="1"/>
      <w:numFmt w:val="bullet"/>
      <w:pStyle w:val="Tablesub-bullets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7FC6BB3"/>
    <w:multiLevelType w:val="hybridMultilevel"/>
    <w:tmpl w:val="647C809E"/>
    <w:lvl w:ilvl="0" w:tplc="2DA8DAD4">
      <w:start w:val="1"/>
      <w:numFmt w:val="bullet"/>
      <w:pStyle w:val="Tex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BF2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E621C"/>
    <w:multiLevelType w:val="hybridMultilevel"/>
    <w:tmpl w:val="8654DF64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11491"/>
    <w:rsid w:val="00033CD4"/>
    <w:rsid w:val="00060C50"/>
    <w:rsid w:val="000A4ADB"/>
    <w:rsid w:val="000B079A"/>
    <w:rsid w:val="000F0257"/>
    <w:rsid w:val="0014067C"/>
    <w:rsid w:val="001C3968"/>
    <w:rsid w:val="001E2CA9"/>
    <w:rsid w:val="001E6A96"/>
    <w:rsid w:val="001E7AF2"/>
    <w:rsid w:val="00274AAC"/>
    <w:rsid w:val="002A28AD"/>
    <w:rsid w:val="002D1235"/>
    <w:rsid w:val="002F259E"/>
    <w:rsid w:val="0033675A"/>
    <w:rsid w:val="003459B1"/>
    <w:rsid w:val="003928C4"/>
    <w:rsid w:val="003B3F69"/>
    <w:rsid w:val="003C6DFD"/>
    <w:rsid w:val="004108D7"/>
    <w:rsid w:val="00433404"/>
    <w:rsid w:val="00470D54"/>
    <w:rsid w:val="00471B37"/>
    <w:rsid w:val="00474CD3"/>
    <w:rsid w:val="004C50D5"/>
    <w:rsid w:val="004D42C0"/>
    <w:rsid w:val="004D4AD1"/>
    <w:rsid w:val="004F0369"/>
    <w:rsid w:val="00500F22"/>
    <w:rsid w:val="00523203"/>
    <w:rsid w:val="00584245"/>
    <w:rsid w:val="00642A9E"/>
    <w:rsid w:val="00682A6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00C01"/>
    <w:rsid w:val="009531B2"/>
    <w:rsid w:val="00971232"/>
    <w:rsid w:val="009D7C2F"/>
    <w:rsid w:val="009F6D57"/>
    <w:rsid w:val="00A4322C"/>
    <w:rsid w:val="00A962AA"/>
    <w:rsid w:val="00AA2260"/>
    <w:rsid w:val="00AE0ABA"/>
    <w:rsid w:val="00AF46E8"/>
    <w:rsid w:val="00B23497"/>
    <w:rsid w:val="00B24E5E"/>
    <w:rsid w:val="00B85982"/>
    <w:rsid w:val="00BC1C13"/>
    <w:rsid w:val="00BE09BF"/>
    <w:rsid w:val="00C010E9"/>
    <w:rsid w:val="00C46DA0"/>
    <w:rsid w:val="00C7069B"/>
    <w:rsid w:val="00C77ED4"/>
    <w:rsid w:val="00CE49C5"/>
    <w:rsid w:val="00CF284B"/>
    <w:rsid w:val="00D137E1"/>
    <w:rsid w:val="00D34FAF"/>
    <w:rsid w:val="00D535E3"/>
    <w:rsid w:val="00DB12B6"/>
    <w:rsid w:val="00DF21BB"/>
    <w:rsid w:val="00E048FE"/>
    <w:rsid w:val="00E27C22"/>
    <w:rsid w:val="00E50992"/>
    <w:rsid w:val="00E54214"/>
    <w:rsid w:val="00E85B48"/>
    <w:rsid w:val="00E904C9"/>
    <w:rsid w:val="00E96AE5"/>
    <w:rsid w:val="00EA4A96"/>
    <w:rsid w:val="00F15695"/>
    <w:rsid w:val="00F27F8A"/>
    <w:rsid w:val="00FC413B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link w:val="TabletextChar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opic">
    <w:name w:val="Topic"/>
    <w:basedOn w:val="Normal"/>
    <w:rsid w:val="00DB12B6"/>
    <w:pPr>
      <w:tabs>
        <w:tab w:val="left" w:pos="720"/>
      </w:tabs>
      <w:spacing w:before="100" w:after="100" w:line="260" w:lineRule="atLeas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ext-bullet">
    <w:name w:val="Text-bullet"/>
    <w:basedOn w:val="Normal"/>
    <w:rsid w:val="00DB12B6"/>
    <w:pPr>
      <w:numPr>
        <w:numId w:val="4"/>
      </w:numPr>
      <w:spacing w:before="100" w:after="100" w:line="260" w:lineRule="atLeast"/>
      <w:ind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qFormat/>
    <w:rsid w:val="00DB12B6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2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bulletsthirdlevel">
    <w:name w:val="table bullets third level"/>
    <w:basedOn w:val="Normal"/>
    <w:rsid w:val="00433404"/>
    <w:pPr>
      <w:numPr>
        <w:ilvl w:val="1"/>
        <w:numId w:val="8"/>
      </w:numPr>
      <w:tabs>
        <w:tab w:val="left" w:pos="240"/>
      </w:tabs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sub-head">
    <w:name w:val="Table sub-head"/>
    <w:basedOn w:val="Normal"/>
    <w:next w:val="Normal"/>
    <w:rsid w:val="00433404"/>
    <w:pPr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bullets">
    <w:name w:val="Table bullets"/>
    <w:basedOn w:val="Text-bullet"/>
    <w:qFormat/>
    <w:rsid w:val="00433404"/>
    <w:pPr>
      <w:numPr>
        <w:numId w:val="2"/>
      </w:numPr>
      <w:spacing w:before="60" w:after="60"/>
      <w:ind w:right="0"/>
    </w:pPr>
  </w:style>
  <w:style w:type="paragraph" w:customStyle="1" w:styleId="Text1">
    <w:name w:val="Text1"/>
    <w:basedOn w:val="Normal"/>
    <w:rsid w:val="00C77ED4"/>
    <w:pPr>
      <w:numPr>
        <w:numId w:val="9"/>
      </w:numPr>
      <w:spacing w:before="40" w:after="40" w:line="200" w:lineRule="atLeast"/>
      <w:ind w:left="340" w:hanging="340"/>
    </w:pPr>
    <w:rPr>
      <w:rFonts w:ascii="Trebuchet MS" w:eastAsia="Times New Roman" w:hAnsi="Trebuchet MS" w:cs="Times New Roman"/>
      <w:sz w:val="16"/>
      <w:szCs w:val="16"/>
    </w:rPr>
  </w:style>
  <w:style w:type="character" w:customStyle="1" w:styleId="TabletextChar">
    <w:name w:val="Table text Char"/>
    <w:link w:val="Tabletext"/>
    <w:uiPriority w:val="99"/>
    <w:locked/>
    <w:rsid w:val="00C77ED4"/>
    <w:rPr>
      <w:rFonts w:ascii="Verdana" w:eastAsia="Times New Roman" w:hAnsi="Verdana" w:cs="Arial"/>
      <w:sz w:val="16"/>
      <w:szCs w:val="24"/>
    </w:rPr>
  </w:style>
  <w:style w:type="paragraph" w:customStyle="1" w:styleId="Tablesub-bullets">
    <w:name w:val="Table sub-bullets"/>
    <w:basedOn w:val="Tablebullets"/>
    <w:rsid w:val="00C77ED4"/>
    <w:pPr>
      <w:numPr>
        <w:numId w:val="10"/>
      </w:numPr>
      <w:spacing w:before="80" w:after="80" w:line="240" w:lineRule="auto"/>
      <w:textAlignment w:val="baseline"/>
    </w:pPr>
    <w:rPr>
      <w:rFonts w:cs="Arial"/>
      <w:color w:val="000000"/>
      <w:szCs w:val="23"/>
      <w:lang w:eastAsia="en-GB"/>
    </w:rPr>
  </w:style>
  <w:style w:type="paragraph" w:customStyle="1" w:styleId="Tabletextbold">
    <w:name w:val="Table text bold"/>
    <w:basedOn w:val="Normal"/>
    <w:uiPriority w:val="1"/>
    <w:qFormat/>
    <w:rsid w:val="002D1235"/>
    <w:pPr>
      <w:spacing w:before="80" w:after="80" w:line="240" w:lineRule="auto"/>
    </w:pPr>
    <w:rPr>
      <w:rFonts w:ascii="Verdana" w:eastAsia="Times New Roman" w:hAnsi="Verdana" w:cs="Arial"/>
      <w:b/>
      <w:color w:val="000000"/>
      <w:sz w:val="20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9EC7D-E805-499C-9925-8BEED2E81871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3cde8ce8-497b-4d58-ad3b-77e996642c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c2ace7b-0193-49d6-b28f-a6c5f1daf0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Bishell, April</cp:lastModifiedBy>
  <cp:revision>3</cp:revision>
  <cp:lastPrinted>2019-07-18T11:43:00Z</cp:lastPrinted>
  <dcterms:created xsi:type="dcterms:W3CDTF">2020-07-17T10:14:00Z</dcterms:created>
  <dcterms:modified xsi:type="dcterms:W3CDTF">2020-07-17T10:36:00Z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