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4F7EA6B8" w14:textId="77777777" w:rsidR="006C38E4" w:rsidRPr="006C38E4" w:rsidRDefault="006C38E4" w:rsidP="00E96A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E4">
              <w:rPr>
                <w:rFonts w:ascii="Times New Roman" w:hAnsi="Times New Roman" w:cs="Times New Roman"/>
                <w:b/>
                <w:sz w:val="24"/>
                <w:szCs w:val="24"/>
              </w:rPr>
              <w:t>Business BTEC L3</w:t>
            </w:r>
          </w:p>
          <w:p w14:paraId="28B4EA70" w14:textId="04CB1B5C" w:rsidR="00E85B48" w:rsidRPr="004F0369" w:rsidRDefault="006C38E4" w:rsidP="001216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C38E4">
              <w:rPr>
                <w:rFonts w:ascii="Times New Roman" w:hAnsi="Times New Roman" w:cs="Times New Roman"/>
                <w:b/>
                <w:sz w:val="24"/>
                <w:szCs w:val="24"/>
              </w:rPr>
              <w:t>Unit 3</w:t>
            </w:r>
            <w:r w:rsidR="0012163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C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2163B">
              <w:rPr>
                <w:rFonts w:ascii="Times New Roman" w:hAnsi="Times New Roman" w:cs="Times New Roman"/>
                <w:b/>
                <w:sz w:val="24"/>
                <w:szCs w:val="24"/>
              </w:rPr>
              <w:t>Understand the purpose of accounting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04367913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sz w:val="20"/>
              </w:rPr>
              <w:t xml:space="preserve">In this unit you will investigate </w:t>
            </w:r>
            <w:r w:rsidR="004F0369" w:rsidRPr="004F0369">
              <w:rPr>
                <w:rFonts w:ascii="Times New Roman" w:hAnsi="Times New Roman" w:cs="Times New Roman"/>
                <w:sz w:val="20"/>
              </w:rPr>
              <w:t>business calculations and business performance</w:t>
            </w:r>
          </w:p>
          <w:p w14:paraId="4F2EF46A" w14:textId="266CD5A4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LG1</w:t>
            </w:r>
            <w:r w:rsidRPr="004F0369">
              <w:rPr>
                <w:rFonts w:ascii="Times New Roman" w:hAnsi="Times New Roman" w:cs="Times New Roman"/>
                <w:sz w:val="20"/>
              </w:rPr>
              <w:t>: Knowledge</w:t>
            </w:r>
          </w:p>
          <w:p w14:paraId="384CC0B5" w14:textId="6E7B450D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LG2</w:t>
            </w:r>
            <w:r w:rsidRPr="004F0369">
              <w:rPr>
                <w:rFonts w:ascii="Times New Roman" w:hAnsi="Times New Roman" w:cs="Times New Roman"/>
                <w:sz w:val="20"/>
              </w:rPr>
              <w:t>: Application</w:t>
            </w:r>
          </w:p>
          <w:p w14:paraId="49C0DC09" w14:textId="32861EEB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LG3</w:t>
            </w:r>
            <w:r w:rsidRPr="004F0369">
              <w:rPr>
                <w:rFonts w:ascii="Times New Roman" w:hAnsi="Times New Roman" w:cs="Times New Roman"/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642E7A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10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10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1AFCF2AB" w14:textId="77777777" w:rsidR="0012163B" w:rsidRPr="0012163B" w:rsidRDefault="0012163B" w:rsidP="0012163B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63B">
              <w:rPr>
                <w:rFonts w:ascii="Times New Roman" w:hAnsi="Times New Roman" w:cs="Times New Roman"/>
                <w:sz w:val="22"/>
                <w:szCs w:val="22"/>
              </w:rPr>
              <w:t>C1</w:t>
            </w:r>
            <w:r w:rsidRPr="001216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Purpose of accounting</w:t>
            </w:r>
          </w:p>
          <w:p w14:paraId="59E8F3DE" w14:textId="2180B359" w:rsidR="00CE49C5" w:rsidRPr="0012163B" w:rsidRDefault="00CE49C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97" w:type="dxa"/>
            <w:gridSpan w:val="3"/>
          </w:tcPr>
          <w:p w14:paraId="7A636C9A" w14:textId="77777777" w:rsidR="0012163B" w:rsidRPr="0012163B" w:rsidRDefault="0012163B" w:rsidP="001216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2163B">
              <w:rPr>
                <w:rFonts w:ascii="Times New Roman" w:hAnsi="Times New Roman"/>
                <w:b/>
                <w:sz w:val="22"/>
                <w:szCs w:val="22"/>
              </w:rPr>
              <w:t>LG1</w:t>
            </w:r>
            <w:r w:rsidRPr="0012163B">
              <w:rPr>
                <w:rFonts w:ascii="Times New Roman" w:hAnsi="Times New Roman"/>
                <w:sz w:val="22"/>
                <w:szCs w:val="22"/>
              </w:rPr>
              <w:t>: know what a transaction is and type (credit and cash)</w:t>
            </w:r>
          </w:p>
          <w:p w14:paraId="534A4F66" w14:textId="77777777" w:rsidR="0012163B" w:rsidRPr="0012163B" w:rsidRDefault="0012163B" w:rsidP="001216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2163B">
              <w:rPr>
                <w:rFonts w:ascii="Times New Roman" w:hAnsi="Times New Roman"/>
                <w:b/>
                <w:sz w:val="22"/>
                <w:szCs w:val="22"/>
              </w:rPr>
              <w:t>LG1:</w:t>
            </w:r>
            <w:r w:rsidRPr="0012163B">
              <w:rPr>
                <w:rFonts w:ascii="Times New Roman" w:hAnsi="Times New Roman"/>
                <w:sz w:val="22"/>
                <w:szCs w:val="22"/>
              </w:rPr>
              <w:t xml:space="preserve"> Know the reasons why a business needs to record transactions</w:t>
            </w:r>
          </w:p>
          <w:p w14:paraId="64D4D4D8" w14:textId="77777777" w:rsidR="0012163B" w:rsidRPr="0012163B" w:rsidRDefault="0012163B" w:rsidP="001216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2163B">
              <w:rPr>
                <w:rFonts w:ascii="Times New Roman" w:hAnsi="Times New Roman"/>
                <w:b/>
                <w:sz w:val="22"/>
                <w:szCs w:val="22"/>
              </w:rPr>
              <w:t>LG2</w:t>
            </w:r>
            <w:r w:rsidRPr="0012163B">
              <w:rPr>
                <w:rFonts w:ascii="Times New Roman" w:hAnsi="Times New Roman"/>
                <w:sz w:val="22"/>
                <w:szCs w:val="22"/>
              </w:rPr>
              <w:t>: Explain why it is important for given individuals/organisations to record transactions</w:t>
            </w:r>
          </w:p>
          <w:p w14:paraId="53F645AC" w14:textId="77777777" w:rsidR="0012163B" w:rsidRPr="0012163B" w:rsidRDefault="0012163B" w:rsidP="001216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2163B">
              <w:rPr>
                <w:rFonts w:ascii="Times New Roman" w:hAnsi="Times New Roman"/>
                <w:b/>
                <w:sz w:val="22"/>
                <w:szCs w:val="22"/>
              </w:rPr>
              <w:t>LG2:</w:t>
            </w:r>
            <w:r w:rsidRPr="0012163B">
              <w:rPr>
                <w:rFonts w:ascii="Times New Roman" w:hAnsi="Times New Roman"/>
                <w:sz w:val="22"/>
                <w:szCs w:val="22"/>
              </w:rPr>
              <w:t xml:space="preserve"> Give example of transaction types</w:t>
            </w:r>
          </w:p>
          <w:p w14:paraId="6211553F" w14:textId="0355BD3B" w:rsidR="00E96AE5" w:rsidRPr="0012163B" w:rsidRDefault="0012163B" w:rsidP="001216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2163B">
              <w:rPr>
                <w:rFonts w:ascii="Times New Roman" w:hAnsi="Times New Roman"/>
                <w:b/>
                <w:sz w:val="22"/>
                <w:szCs w:val="22"/>
              </w:rPr>
              <w:t>LG3:</w:t>
            </w:r>
            <w:r w:rsidRPr="0012163B">
              <w:rPr>
                <w:rFonts w:ascii="Times New Roman" w:hAnsi="Times New Roman"/>
                <w:sz w:val="22"/>
                <w:szCs w:val="22"/>
              </w:rPr>
              <w:t xml:space="preserve"> Analyse the importance of recording transactions</w:t>
            </w:r>
          </w:p>
        </w:tc>
        <w:tc>
          <w:tcPr>
            <w:tcW w:w="726" w:type="dxa"/>
          </w:tcPr>
          <w:p w14:paraId="000DA362" w14:textId="3DC6C58D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E5DF3EC" w14:textId="032C2859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927ACE" w14:textId="30C6C78F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5E7A4A7D" w14:textId="77777777" w:rsidR="0012163B" w:rsidRPr="0012163B" w:rsidRDefault="0012163B" w:rsidP="0012163B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63B">
              <w:rPr>
                <w:rFonts w:ascii="Times New Roman" w:hAnsi="Times New Roman" w:cs="Times New Roman"/>
                <w:b/>
                <w:sz w:val="22"/>
                <w:szCs w:val="22"/>
              </w:rPr>
              <w:t>C2 Types of income</w:t>
            </w:r>
          </w:p>
          <w:p w14:paraId="498DDBB4" w14:textId="6FEA574C" w:rsidR="008E416C" w:rsidRPr="0012163B" w:rsidRDefault="008E416C" w:rsidP="00E96AE5">
            <w:pPr>
              <w:pStyle w:val="ListParagraph"/>
              <w:numPr>
                <w:ilvl w:val="0"/>
                <w:numId w:val="3"/>
              </w:numPr>
              <w:spacing w:after="0"/>
              <w:ind w:left="227" w:hanging="227"/>
              <w:rPr>
                <w:rFonts w:ascii="Times New Roman" w:hAnsi="Times New Roman" w:cs="Times New Roman"/>
              </w:rPr>
            </w:pPr>
          </w:p>
        </w:tc>
        <w:tc>
          <w:tcPr>
            <w:tcW w:w="5997" w:type="dxa"/>
            <w:gridSpan w:val="3"/>
          </w:tcPr>
          <w:p w14:paraId="1586C996" w14:textId="77777777" w:rsidR="0012163B" w:rsidRPr="0012163B" w:rsidRDefault="0012163B" w:rsidP="001216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2163B">
              <w:rPr>
                <w:rFonts w:ascii="Times New Roman" w:hAnsi="Times New Roman"/>
                <w:b/>
                <w:sz w:val="22"/>
                <w:szCs w:val="22"/>
              </w:rPr>
              <w:t>LG1</w:t>
            </w:r>
            <w:r w:rsidRPr="0012163B">
              <w:rPr>
                <w:rFonts w:ascii="Times New Roman" w:hAnsi="Times New Roman"/>
                <w:sz w:val="22"/>
                <w:szCs w:val="22"/>
              </w:rPr>
              <w:t>: Know the sources of capital income: loan; mortgages; shares; owner’s capital; debentures.</w:t>
            </w:r>
          </w:p>
          <w:p w14:paraId="6EF03A29" w14:textId="77777777" w:rsidR="0012163B" w:rsidRPr="0012163B" w:rsidRDefault="0012163B" w:rsidP="001216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2163B">
              <w:rPr>
                <w:rFonts w:ascii="Times New Roman" w:hAnsi="Times New Roman"/>
                <w:b/>
                <w:sz w:val="22"/>
                <w:szCs w:val="22"/>
              </w:rPr>
              <w:t>LG1</w:t>
            </w:r>
            <w:r w:rsidRPr="0012163B">
              <w:rPr>
                <w:rFonts w:ascii="Times New Roman" w:hAnsi="Times New Roman"/>
                <w:sz w:val="22"/>
                <w:szCs w:val="22"/>
              </w:rPr>
              <w:t>: Know the sources of revenue income: cash sales; credit sales; rent received; commission received; interest received; discount received.</w:t>
            </w:r>
          </w:p>
          <w:p w14:paraId="10F4195B" w14:textId="77777777" w:rsidR="0012163B" w:rsidRPr="0012163B" w:rsidRDefault="0012163B" w:rsidP="001216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2163B">
              <w:rPr>
                <w:rFonts w:ascii="Times New Roman" w:hAnsi="Times New Roman"/>
                <w:b/>
                <w:sz w:val="22"/>
                <w:szCs w:val="22"/>
              </w:rPr>
              <w:t>LG2:</w:t>
            </w:r>
            <w:r w:rsidRPr="0012163B">
              <w:rPr>
                <w:rFonts w:ascii="Times New Roman" w:hAnsi="Times New Roman"/>
                <w:sz w:val="22"/>
                <w:szCs w:val="22"/>
              </w:rPr>
              <w:t xml:space="preserve"> Identify source of revenue for given business</w:t>
            </w:r>
          </w:p>
          <w:p w14:paraId="41477595" w14:textId="7F7D5F3E" w:rsidR="00E96AE5" w:rsidRPr="0012163B" w:rsidRDefault="0012163B" w:rsidP="0012163B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163B">
              <w:rPr>
                <w:rFonts w:ascii="Times New Roman" w:hAnsi="Times New Roman" w:cs="Times New Roman"/>
                <w:b/>
                <w:sz w:val="22"/>
                <w:szCs w:val="22"/>
              </w:rPr>
              <w:t>LG3</w:t>
            </w:r>
            <w:r w:rsidRPr="0012163B">
              <w:rPr>
                <w:rFonts w:ascii="Times New Roman" w:hAnsi="Times New Roman" w:cs="Times New Roman"/>
                <w:sz w:val="22"/>
                <w:szCs w:val="22"/>
              </w:rPr>
              <w:t>: Calculate revenues</w:t>
            </w:r>
          </w:p>
        </w:tc>
        <w:tc>
          <w:tcPr>
            <w:tcW w:w="726" w:type="dxa"/>
          </w:tcPr>
          <w:p w14:paraId="6232629A" w14:textId="0FC0279D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1FDA276" w14:textId="2F5D9242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4E4DA7" w14:textId="33343823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</w:tr>
      <w:tr w:rsidR="008D491A" w14:paraId="0FBDD03C" w14:textId="77777777" w:rsidTr="00B24E5E">
        <w:trPr>
          <w:trHeight w:val="225"/>
        </w:trPr>
        <w:tc>
          <w:tcPr>
            <w:tcW w:w="2547" w:type="dxa"/>
          </w:tcPr>
          <w:p w14:paraId="40B0BBC4" w14:textId="77777777" w:rsidR="0012163B" w:rsidRPr="0012163B" w:rsidRDefault="0012163B" w:rsidP="0012163B">
            <w:pPr>
              <w:rPr>
                <w:rFonts w:ascii="Times New Roman" w:hAnsi="Times New Roman" w:cs="Times New Roman"/>
                <w:b/>
              </w:rPr>
            </w:pPr>
            <w:r w:rsidRPr="0012163B">
              <w:rPr>
                <w:rFonts w:ascii="Times New Roman" w:hAnsi="Times New Roman" w:cs="Times New Roman"/>
                <w:b/>
              </w:rPr>
              <w:t>C3: Types of Expenditure</w:t>
            </w:r>
          </w:p>
          <w:p w14:paraId="63F525B8" w14:textId="5930231F" w:rsidR="00E96AE5" w:rsidRPr="0012163B" w:rsidRDefault="00E96AE5" w:rsidP="00E96AE5">
            <w:pPr>
              <w:pStyle w:val="Tabletextbullets"/>
              <w:ind w:left="227" w:hanging="22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7" w:type="dxa"/>
            <w:gridSpan w:val="3"/>
          </w:tcPr>
          <w:p w14:paraId="1054379F" w14:textId="77777777" w:rsidR="0012163B" w:rsidRPr="0012163B" w:rsidRDefault="0012163B" w:rsidP="001216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2163B">
              <w:rPr>
                <w:rFonts w:ascii="Times New Roman" w:hAnsi="Times New Roman"/>
                <w:b/>
                <w:sz w:val="22"/>
                <w:szCs w:val="22"/>
              </w:rPr>
              <w:t>LG1</w:t>
            </w:r>
            <w:r w:rsidRPr="0012163B">
              <w:rPr>
                <w:rFonts w:ascii="Times New Roman" w:hAnsi="Times New Roman"/>
                <w:sz w:val="22"/>
                <w:szCs w:val="22"/>
              </w:rPr>
              <w:t>: Know that capital expenditure can be categorised as non-current assets: tangible and intangible and know the type of capital expenditure</w:t>
            </w:r>
          </w:p>
          <w:p w14:paraId="09E67A13" w14:textId="77777777" w:rsidR="0012163B" w:rsidRPr="0012163B" w:rsidRDefault="0012163B" w:rsidP="001216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2163B">
              <w:rPr>
                <w:rFonts w:ascii="Times New Roman" w:hAnsi="Times New Roman"/>
                <w:b/>
                <w:sz w:val="22"/>
                <w:szCs w:val="22"/>
              </w:rPr>
              <w:t>LG1</w:t>
            </w:r>
            <w:r w:rsidRPr="0012163B">
              <w:rPr>
                <w:rFonts w:ascii="Times New Roman" w:hAnsi="Times New Roman"/>
                <w:sz w:val="22"/>
                <w:szCs w:val="22"/>
              </w:rPr>
              <w:t>: Know that revenue expenditure is the ongoing running costs for the business and know the types of revenue expenditure</w:t>
            </w:r>
          </w:p>
          <w:p w14:paraId="4EB4E1E1" w14:textId="6A241DE1" w:rsidR="008D491A" w:rsidRPr="0012163B" w:rsidRDefault="0012163B" w:rsidP="0012163B">
            <w:pPr>
              <w:rPr>
                <w:rFonts w:ascii="Times New Roman" w:hAnsi="Times New Roman" w:cs="Times New Roman"/>
              </w:rPr>
            </w:pPr>
            <w:r w:rsidRPr="0012163B">
              <w:rPr>
                <w:rFonts w:ascii="Times New Roman" w:hAnsi="Times New Roman" w:cs="Times New Roman"/>
                <w:b/>
              </w:rPr>
              <w:t>LG2</w:t>
            </w:r>
            <w:r w:rsidRPr="0012163B">
              <w:rPr>
                <w:rFonts w:ascii="Times New Roman" w:hAnsi="Times New Roman" w:cs="Times New Roman"/>
              </w:rPr>
              <w:t>: Give examples of income and expenditure for given businesses</w:t>
            </w:r>
            <w:r w:rsidRPr="0012163B">
              <w:rPr>
                <w:rFonts w:ascii="Times New Roman" w:hAnsi="Times New Roman" w:cs="Times New Roman"/>
                <w:b/>
              </w:rPr>
              <w:t>LG3</w:t>
            </w:r>
            <w:r w:rsidRPr="0012163B">
              <w:rPr>
                <w:rFonts w:ascii="Times New Roman" w:hAnsi="Times New Roman" w:cs="Times New Roman"/>
              </w:rPr>
              <w:t>: To calculate depreciation using different methods</w:t>
            </w:r>
            <w:r w:rsidRPr="0012163B">
              <w:rPr>
                <w:rFonts w:ascii="Times New Roman" w:hAnsi="Times New Roman" w:cs="Times New Roman"/>
                <w:b/>
              </w:rPr>
              <w:t>LG3:</w:t>
            </w:r>
            <w:r w:rsidRPr="0012163B">
              <w:rPr>
                <w:rFonts w:ascii="Times New Roman" w:hAnsi="Times New Roman" w:cs="Times New Roman"/>
              </w:rPr>
              <w:t xml:space="preserve"> extract data from published accounts</w:t>
            </w:r>
          </w:p>
        </w:tc>
        <w:tc>
          <w:tcPr>
            <w:tcW w:w="726" w:type="dxa"/>
          </w:tcPr>
          <w:p w14:paraId="0C4A4D02" w14:textId="77777777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978F828" w14:textId="77777777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D4D35F" w14:textId="72B059F2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004" w14:paraId="062B3143" w14:textId="77777777" w:rsidTr="00B24E5E">
        <w:trPr>
          <w:trHeight w:val="225"/>
        </w:trPr>
        <w:tc>
          <w:tcPr>
            <w:tcW w:w="2547" w:type="dxa"/>
          </w:tcPr>
          <w:p w14:paraId="6661B03F" w14:textId="77777777" w:rsidR="006C38E4" w:rsidRPr="006C38E4" w:rsidRDefault="006C38E4" w:rsidP="006C38E4">
            <w:pPr>
              <w:pStyle w:val="Tabletext"/>
              <w:rPr>
                <w:rFonts w:ascii="Times New Roman" w:hAnsi="Times New Roman" w:cs="Times New Roman"/>
                <w:b/>
                <w:sz w:val="24"/>
              </w:rPr>
            </w:pPr>
            <w:r w:rsidRPr="006C38E4">
              <w:rPr>
                <w:rFonts w:ascii="Times New Roman" w:hAnsi="Times New Roman" w:cs="Times New Roman"/>
                <w:b/>
                <w:sz w:val="24"/>
              </w:rPr>
              <w:t>B4 Information guidance and advice</w:t>
            </w:r>
          </w:p>
          <w:p w14:paraId="22AF1D2A" w14:textId="2D67CCC1" w:rsidR="008B5004" w:rsidRPr="006C38E4" w:rsidRDefault="008B5004" w:rsidP="00B24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  <w:gridSpan w:val="3"/>
          </w:tcPr>
          <w:p w14:paraId="2E360C00" w14:textId="77777777" w:rsidR="006C38E4" w:rsidRPr="006C38E4" w:rsidRDefault="006C38E4" w:rsidP="006C38E4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6C38E4">
              <w:rPr>
                <w:rFonts w:ascii="Times New Roman" w:hAnsi="Times New Roman"/>
                <w:b/>
                <w:sz w:val="22"/>
                <w:szCs w:val="22"/>
              </w:rPr>
              <w:t>LG1</w:t>
            </w:r>
            <w:r w:rsidRPr="006C38E4">
              <w:rPr>
                <w:rFonts w:ascii="Times New Roman" w:hAnsi="Times New Roman"/>
                <w:sz w:val="22"/>
                <w:szCs w:val="22"/>
              </w:rPr>
              <w:t>: Know the function, role and responsibilities, advantages and disadvantages of: Citizens Advice; independent financial advisor (IFA); price comparison websites; money advice service; debt counsellors; Individual Voluntary Arrangements (IVAs); Bankruptcy.</w:t>
            </w:r>
          </w:p>
          <w:p w14:paraId="6A772341" w14:textId="77777777" w:rsidR="006C38E4" w:rsidRPr="006C38E4" w:rsidRDefault="006C38E4" w:rsidP="006C38E4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6C38E4">
              <w:rPr>
                <w:rFonts w:ascii="Times New Roman" w:hAnsi="Times New Roman"/>
                <w:b/>
                <w:sz w:val="22"/>
                <w:szCs w:val="22"/>
              </w:rPr>
              <w:t>LG2:</w:t>
            </w:r>
            <w:r w:rsidRPr="006C38E4">
              <w:rPr>
                <w:rFonts w:ascii="Times New Roman" w:hAnsi="Times New Roman"/>
                <w:sz w:val="22"/>
                <w:szCs w:val="22"/>
              </w:rPr>
              <w:t xml:space="preserve"> Identify support for given individuals</w:t>
            </w:r>
          </w:p>
          <w:p w14:paraId="32FE8BC8" w14:textId="77906AD9" w:rsidR="008B5004" w:rsidRPr="006C38E4" w:rsidRDefault="006C38E4" w:rsidP="006C38E4">
            <w:pPr>
              <w:pStyle w:val="Tabletextbullet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C38E4">
              <w:rPr>
                <w:rFonts w:ascii="Times New Roman" w:hAnsi="Times New Roman" w:cs="Times New Roman"/>
                <w:b/>
                <w:sz w:val="22"/>
                <w:szCs w:val="22"/>
              </w:rPr>
              <w:t>LG3:</w:t>
            </w:r>
            <w:r w:rsidRPr="006C38E4">
              <w:rPr>
                <w:rFonts w:ascii="Times New Roman" w:hAnsi="Times New Roman" w:cs="Times New Roman"/>
                <w:sz w:val="22"/>
                <w:szCs w:val="22"/>
              </w:rPr>
              <w:t xml:space="preserve"> Analyse and evaluate the sources of advice</w:t>
            </w:r>
          </w:p>
        </w:tc>
        <w:tc>
          <w:tcPr>
            <w:tcW w:w="726" w:type="dxa"/>
          </w:tcPr>
          <w:p w14:paraId="6A4541FC" w14:textId="77777777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E014193" w14:textId="77777777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3DAD39" w14:textId="7169E308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7C723F2" w14:textId="09E92E28" w:rsidR="00471B37" w:rsidRDefault="00E96AE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0E8978B4">
                <wp:simplePos x="0" y="0"/>
                <wp:positionH relativeFrom="margin">
                  <wp:align>left</wp:align>
                </wp:positionH>
                <wp:positionV relativeFrom="paragraph">
                  <wp:posOffset>7677151</wp:posOffset>
                </wp:positionV>
                <wp:extent cx="6734175" cy="2209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26DCC72A" w:rsidR="00471B37" w:rsidRDefault="007D0FDE" w:rsidP="00E96AE5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5BF0F81" w14:textId="355C99F9" w:rsidR="0012163B" w:rsidRPr="0012163B" w:rsidRDefault="0012163B" w:rsidP="001216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Having studied personal finance in Section A,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have an awareness of what transactions are and the need for individuals to manage their finances.  In this unit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you will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look at the need for businesses to record finance. 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will start to calculate revenues and profit ready to build on in both break even (section E) and P&amp;L accounts section (F).  In this unit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you will be introduced to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annual accounts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extract information from the accounts to familiarise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yourself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with terminology and the content of the financial statements in readiness for section E.  Having identified income and expenditure in this unit,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will start to consider sources of finance in more detail (section D) and then look at how cash flow is used to help monitor (Section E). 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If you are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studying double award will also use knowledge of income and expenditure and the purpose of recording to build on in 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your</w:t>
                            </w:r>
                            <w:r w:rsidRPr="00121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cost and management unit.</w:t>
                            </w:r>
                          </w:p>
                          <w:p w14:paraId="7ED1587E" w14:textId="3B317558" w:rsidR="006C38E4" w:rsidRPr="006C38E4" w:rsidRDefault="006C38E4" w:rsidP="0012163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04.5pt;width:530.25pt;height:174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" fillcolor="white [3201]" strokeweight="1.5pt">
                <v:textbox>
                  <w:txbxContent>
                    <w:p w14:paraId="092FFFBE" w14:textId="26DCC72A" w:rsidR="00471B37" w:rsidRDefault="007D0FDE" w:rsidP="00E96AE5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5BF0F81" w14:textId="355C99F9" w:rsidR="0012163B" w:rsidRPr="0012163B" w:rsidRDefault="0012163B" w:rsidP="001216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Having studied personal finance in Section A,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you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have an awareness of what transactions are and the need for individuals to manage their finances.  In this unit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you will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look at the need for businesses to record finance. 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You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will start to calculate revenues and profit ready to build on in both break even (section E) and P&amp;L accounts section (F).  In this unit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you will be introduced to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annual accounts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extract information from the accounts to familiarise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yourself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with terminology and the content of the financial statements in readiness for section E.  Having identified income and expenditure in this unit,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will start to consider sources of finance in more detail (section D) and then look at how cash flow is used to help monitor (Section E). 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If you are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studying double award will also use knowledge of income and expenditure and the purpose of recording to build on in 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your</w:t>
                      </w:r>
                      <w:r w:rsidRPr="00121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cost and management unit.</w:t>
                      </w:r>
                    </w:p>
                    <w:p w14:paraId="7ED1587E" w14:textId="3B317558" w:rsidR="006C38E4" w:rsidRPr="006C38E4" w:rsidRDefault="006C38E4" w:rsidP="0012163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E29"/>
    <w:multiLevelType w:val="hybridMultilevel"/>
    <w:tmpl w:val="3EC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E621C"/>
    <w:multiLevelType w:val="hybridMultilevel"/>
    <w:tmpl w:val="DAC2CD66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60C50"/>
    <w:rsid w:val="000A4ADB"/>
    <w:rsid w:val="000B079A"/>
    <w:rsid w:val="000F0257"/>
    <w:rsid w:val="0012163B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4F0369"/>
    <w:rsid w:val="00500F22"/>
    <w:rsid w:val="00523203"/>
    <w:rsid w:val="005333D4"/>
    <w:rsid w:val="00584245"/>
    <w:rsid w:val="00642A9E"/>
    <w:rsid w:val="006C38E4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5241F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96AE5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link w:val="TabletextChar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character" w:customStyle="1" w:styleId="TabletextChar">
    <w:name w:val="Table text Char"/>
    <w:link w:val="Tabletext"/>
    <w:locked/>
    <w:rsid w:val="006C38E4"/>
    <w:rPr>
      <w:rFonts w:ascii="Verdana" w:eastAsia="Times New Roman" w:hAnsi="Verdana" w:cs="Arial"/>
      <w:sz w:val="16"/>
      <w:szCs w:val="24"/>
    </w:rPr>
  </w:style>
  <w:style w:type="paragraph" w:customStyle="1" w:styleId="Text-bullet">
    <w:name w:val="Text-bullet"/>
    <w:basedOn w:val="Normal"/>
    <w:rsid w:val="006C38E4"/>
    <w:pPr>
      <w:numPr>
        <w:numId w:val="4"/>
      </w:numPr>
      <w:tabs>
        <w:tab w:val="clear" w:pos="240"/>
        <w:tab w:val="num" w:pos="360"/>
      </w:tabs>
      <w:spacing w:before="100" w:after="100" w:line="260" w:lineRule="atLeast"/>
      <w:ind w:left="460"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ablebullets">
    <w:name w:val="Table bullets"/>
    <w:basedOn w:val="Text-bullet"/>
    <w:qFormat/>
    <w:rsid w:val="006C38E4"/>
    <w:pPr>
      <w:tabs>
        <w:tab w:val="clear" w:pos="360"/>
        <w:tab w:val="num" w:pos="240"/>
      </w:tabs>
      <w:spacing w:before="60" w:after="60"/>
      <w:ind w:left="340" w:right="0"/>
    </w:pPr>
  </w:style>
  <w:style w:type="paragraph" w:styleId="Header">
    <w:name w:val="header"/>
    <w:basedOn w:val="Normal"/>
    <w:link w:val="HeaderChar"/>
    <w:uiPriority w:val="99"/>
    <w:unhideWhenUsed/>
    <w:rsid w:val="006C38E4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C38E4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12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0BE0EA-C095-4267-905E-F4F06FBED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Chapman, Rachel</cp:lastModifiedBy>
  <cp:revision>3</cp:revision>
  <dcterms:created xsi:type="dcterms:W3CDTF">2019-07-26T21:39:00Z</dcterms:created>
  <dcterms:modified xsi:type="dcterms:W3CDTF">2019-07-26T21:45:00Z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