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4F7EA6B8" w14:textId="77777777" w:rsidR="006C38E4" w:rsidRPr="006C38E4" w:rsidRDefault="006C38E4" w:rsidP="00E96A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E4">
              <w:rPr>
                <w:rFonts w:ascii="Times New Roman" w:hAnsi="Times New Roman" w:cs="Times New Roman"/>
                <w:b/>
                <w:sz w:val="24"/>
                <w:szCs w:val="24"/>
              </w:rPr>
              <w:t>Business BTEC L3</w:t>
            </w:r>
          </w:p>
          <w:p w14:paraId="28B4EA70" w14:textId="08628272" w:rsidR="00E85B48" w:rsidRPr="004F0369" w:rsidRDefault="006C38E4" w:rsidP="00FD33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C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FD338D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Pr="006C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D3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Sources of </w:t>
            </w:r>
            <w:r w:rsidR="0012163B">
              <w:rPr>
                <w:rFonts w:ascii="Times New Roman" w:hAnsi="Times New Roman" w:cs="Times New Roman"/>
                <w:b/>
                <w:sz w:val="24"/>
                <w:szCs w:val="24"/>
              </w:rPr>
              <w:t>Understand the purpose of accounting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4367913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sz w:val="20"/>
              </w:rPr>
              <w:t xml:space="preserve">In this unit you will investigate </w:t>
            </w:r>
            <w:r w:rsidR="004F0369" w:rsidRPr="004F0369">
              <w:rPr>
                <w:rFonts w:ascii="Times New Roman" w:hAnsi="Times New Roman" w:cs="Times New Roman"/>
                <w:sz w:val="20"/>
              </w:rPr>
              <w:t>business calculations and business performance</w:t>
            </w:r>
          </w:p>
          <w:p w14:paraId="4F2EF46A" w14:textId="266CD5A4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LG1</w:t>
            </w:r>
            <w:r w:rsidRPr="004F0369">
              <w:rPr>
                <w:rFonts w:ascii="Times New Roman" w:hAnsi="Times New Roman" w:cs="Times New Roman"/>
                <w:sz w:val="20"/>
              </w:rPr>
              <w:t>: Knowledge</w:t>
            </w:r>
          </w:p>
          <w:p w14:paraId="384CC0B5" w14:textId="6E7B450D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LG2</w:t>
            </w:r>
            <w:r w:rsidRPr="004F0369">
              <w:rPr>
                <w:rFonts w:ascii="Times New Roman" w:hAnsi="Times New Roman" w:cs="Times New Roman"/>
                <w:sz w:val="20"/>
              </w:rPr>
              <w:t>: Application</w:t>
            </w:r>
          </w:p>
          <w:p w14:paraId="49C0DC09" w14:textId="32861EEB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LG3</w:t>
            </w:r>
            <w:r w:rsidRPr="004F0369">
              <w:rPr>
                <w:rFonts w:ascii="Times New Roman" w:hAnsi="Times New Roman" w:cs="Times New Roman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58EEE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51C6EB7B" w:rsidR="00CE49C5" w:rsidRPr="00881AC1" w:rsidRDefault="00881AC1" w:rsidP="00E96A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AC1">
              <w:rPr>
                <w:rFonts w:ascii="Times New Roman" w:hAnsi="Times New Roman" w:cs="Times New Roman"/>
                <w:b/>
                <w:sz w:val="24"/>
                <w:szCs w:val="24"/>
              </w:rPr>
              <w:t>D1 Sources of finance</w:t>
            </w:r>
            <w:r w:rsidRPr="00881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97" w:type="dxa"/>
            <w:gridSpan w:val="3"/>
          </w:tcPr>
          <w:p w14:paraId="5D0E3A71" w14:textId="77777777" w:rsidR="00881AC1" w:rsidRPr="00881AC1" w:rsidRDefault="00881AC1" w:rsidP="00881AC1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1AC1">
              <w:rPr>
                <w:rFonts w:ascii="Times New Roman" w:hAnsi="Times New Roman"/>
                <w:b/>
                <w:sz w:val="24"/>
                <w:szCs w:val="24"/>
              </w:rPr>
              <w:t>LG1</w:t>
            </w:r>
            <w:r w:rsidRPr="00881AC1">
              <w:rPr>
                <w:rFonts w:ascii="Times New Roman" w:hAnsi="Times New Roman"/>
                <w:sz w:val="24"/>
                <w:szCs w:val="24"/>
              </w:rPr>
              <w:t>: Know that sources of finance can be internal or external</w:t>
            </w:r>
          </w:p>
          <w:p w14:paraId="05E4E994" w14:textId="77777777" w:rsidR="00881AC1" w:rsidRPr="00881AC1" w:rsidRDefault="00881AC1" w:rsidP="00881AC1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r w:rsidRPr="00881AC1">
              <w:rPr>
                <w:rFonts w:ascii="Times New Roman" w:hAnsi="Times New Roman" w:cs="Times New Roman"/>
                <w:sz w:val="24"/>
              </w:rPr>
              <w:t xml:space="preserve">LG1: know the advantages and disadvantages of internal and external sources of finance: </w:t>
            </w:r>
          </w:p>
          <w:p w14:paraId="6211553F" w14:textId="1608721B" w:rsidR="00E96AE5" w:rsidRPr="00881AC1" w:rsidRDefault="00E96AE5" w:rsidP="001216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6F2FABE0" w:rsidR="008E416C" w:rsidRPr="00881AC1" w:rsidRDefault="00881AC1" w:rsidP="00E96AE5">
            <w:pPr>
              <w:pStyle w:val="ListParagraph"/>
              <w:numPr>
                <w:ilvl w:val="0"/>
                <w:numId w:val="3"/>
              </w:numPr>
              <w:spacing w:after="0"/>
              <w:ind w:left="227" w:hanging="2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AC1">
              <w:rPr>
                <w:rFonts w:ascii="Times New Roman" w:hAnsi="Times New Roman" w:cs="Times New Roman"/>
                <w:b/>
                <w:sz w:val="24"/>
                <w:szCs w:val="24"/>
              </w:rPr>
              <w:t>D1 Sources of finance</w:t>
            </w:r>
            <w:r w:rsidRPr="00881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97" w:type="dxa"/>
            <w:gridSpan w:val="3"/>
          </w:tcPr>
          <w:p w14:paraId="7D43F3C1" w14:textId="77777777" w:rsidR="00881AC1" w:rsidRPr="00881AC1" w:rsidRDefault="00881AC1" w:rsidP="00881AC1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1AC1">
              <w:rPr>
                <w:rFonts w:ascii="Times New Roman" w:hAnsi="Times New Roman"/>
                <w:b/>
                <w:sz w:val="24"/>
                <w:szCs w:val="24"/>
              </w:rPr>
              <w:t>LG2:</w:t>
            </w:r>
            <w:r w:rsidRPr="00881AC1">
              <w:rPr>
                <w:rFonts w:ascii="Times New Roman" w:hAnsi="Times New Roman"/>
                <w:sz w:val="24"/>
                <w:szCs w:val="24"/>
              </w:rPr>
              <w:t xml:space="preserve"> Select appropriate sources of finance for given scenarios</w:t>
            </w:r>
          </w:p>
          <w:p w14:paraId="32EB3BDC" w14:textId="77777777" w:rsidR="00881AC1" w:rsidRPr="00881AC1" w:rsidRDefault="00881AC1" w:rsidP="00881AC1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1AC1">
              <w:rPr>
                <w:rFonts w:ascii="Times New Roman" w:hAnsi="Times New Roman"/>
                <w:b/>
                <w:sz w:val="24"/>
                <w:szCs w:val="24"/>
              </w:rPr>
              <w:t>LG3</w:t>
            </w:r>
            <w:r w:rsidRPr="00881AC1">
              <w:rPr>
                <w:rFonts w:ascii="Times New Roman" w:hAnsi="Times New Roman"/>
                <w:sz w:val="24"/>
                <w:szCs w:val="24"/>
              </w:rPr>
              <w:t>: Analyse and evaluate sources of finance for given business scenarios</w:t>
            </w:r>
          </w:p>
          <w:p w14:paraId="41477595" w14:textId="2A2F8D14" w:rsidR="00E96AE5" w:rsidRPr="00881AC1" w:rsidRDefault="00E96AE5" w:rsidP="0012163B">
            <w:pPr>
              <w:pStyle w:val="Tabletex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</w:tbl>
    <w:p w14:paraId="07C723F2" w14:textId="09E92E28" w:rsidR="00471B37" w:rsidRDefault="00E96A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7CCCB08">
                <wp:simplePos x="0" y="0"/>
                <wp:positionH relativeFrom="margin">
                  <wp:posOffset>19050</wp:posOffset>
                </wp:positionH>
                <wp:positionV relativeFrom="paragraph">
                  <wp:posOffset>4162425</wp:posOffset>
                </wp:positionV>
                <wp:extent cx="6734175" cy="1819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26DCC72A" w:rsidR="00471B37" w:rsidRPr="00881AC1" w:rsidRDefault="007D0FDE" w:rsidP="00E96AE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1A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ED1587E" w14:textId="04451331" w:rsidR="006C38E4" w:rsidRPr="00881AC1" w:rsidRDefault="00881AC1" w:rsidP="001216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C1">
                              <w:rPr>
                                <w:sz w:val="24"/>
                                <w:szCs w:val="24"/>
                              </w:rPr>
                              <w:t>In Unit 1 you will have</w:t>
                            </w:r>
                            <w:r w:rsidRPr="00881AC1">
                              <w:rPr>
                                <w:sz w:val="24"/>
                                <w:szCs w:val="24"/>
                              </w:rPr>
                              <w:t xml:space="preserve"> knowledge of the purpose of business and the different ways in which a business can be owned, business size and scale.  Having studied capital and revenue income and expenditure in unit 3 section C, </w:t>
                            </w:r>
                            <w:r w:rsidRPr="00881AC1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881AC1">
                              <w:rPr>
                                <w:sz w:val="24"/>
                                <w:szCs w:val="24"/>
                              </w:rPr>
                              <w:t xml:space="preserve"> will also have an awareness that all businesses need to raise finance in order to cover costs.  In this section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881AC1">
                              <w:rPr>
                                <w:sz w:val="24"/>
                                <w:szCs w:val="24"/>
                              </w:rPr>
                              <w:t xml:space="preserve"> will build on this knowledge and develop an understanding of how businesses can raise finance and how methods vary depending on size scale and business type.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881AC1">
                              <w:rPr>
                                <w:sz w:val="24"/>
                                <w:szCs w:val="24"/>
                              </w:rPr>
                              <w:t xml:space="preserve"> will also develop the ability to make recommendations on the suitability of finance.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327.75pt;width:530.25pt;height:143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" fillcolor="white [3201]" strokeweight="1.5pt">
                <v:textbox>
                  <w:txbxContent>
                    <w:p w14:paraId="092FFFBE" w14:textId="26DCC72A" w:rsidR="00471B37" w:rsidRPr="00881AC1" w:rsidRDefault="007D0FDE" w:rsidP="00E96AE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81AC1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ED1587E" w14:textId="04451331" w:rsidR="006C38E4" w:rsidRPr="00881AC1" w:rsidRDefault="00881AC1" w:rsidP="0012163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1AC1">
                        <w:rPr>
                          <w:sz w:val="24"/>
                          <w:szCs w:val="24"/>
                        </w:rPr>
                        <w:t>In Unit 1 you will have</w:t>
                      </w:r>
                      <w:r w:rsidRPr="00881AC1">
                        <w:rPr>
                          <w:sz w:val="24"/>
                          <w:szCs w:val="24"/>
                        </w:rPr>
                        <w:t xml:space="preserve"> knowledge of the purpose of business and the different ways in which a business can be owned, business size and scale.  Having studied capital and revenue income and expenditure in unit 3 section C, </w:t>
                      </w:r>
                      <w:r w:rsidRPr="00881AC1">
                        <w:rPr>
                          <w:sz w:val="24"/>
                          <w:szCs w:val="24"/>
                        </w:rPr>
                        <w:t>you</w:t>
                      </w:r>
                      <w:r w:rsidRPr="00881AC1">
                        <w:rPr>
                          <w:sz w:val="24"/>
                          <w:szCs w:val="24"/>
                        </w:rPr>
                        <w:t xml:space="preserve"> will also have an awareness that all businesses need to raise finance in order to cover costs.  In this section </w:t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Pr="00881AC1">
                        <w:rPr>
                          <w:sz w:val="24"/>
                          <w:szCs w:val="24"/>
                        </w:rPr>
                        <w:t xml:space="preserve"> will build on this knowledge and develop an understanding of how businesses can raise finance and how methods vary depending on size scale and business type.  </w:t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Pr="00881AC1">
                        <w:rPr>
                          <w:sz w:val="24"/>
                          <w:szCs w:val="24"/>
                        </w:rPr>
                        <w:t xml:space="preserve"> will also develop the ability to make recommendations on the suitability of finance.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60C50"/>
    <w:rsid w:val="000A4ADB"/>
    <w:rsid w:val="000B079A"/>
    <w:rsid w:val="000F0257"/>
    <w:rsid w:val="0012163B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11B72"/>
    <w:rsid w:val="00470D54"/>
    <w:rsid w:val="00471B37"/>
    <w:rsid w:val="004C50D5"/>
    <w:rsid w:val="004D42C0"/>
    <w:rsid w:val="004D4AD1"/>
    <w:rsid w:val="004F0369"/>
    <w:rsid w:val="00500F22"/>
    <w:rsid w:val="00523203"/>
    <w:rsid w:val="005333D4"/>
    <w:rsid w:val="00584245"/>
    <w:rsid w:val="00642A9E"/>
    <w:rsid w:val="006C38E4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81AC1"/>
    <w:rsid w:val="008A1A2A"/>
    <w:rsid w:val="008B5004"/>
    <w:rsid w:val="008D491A"/>
    <w:rsid w:val="008E416C"/>
    <w:rsid w:val="0095241F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96AE5"/>
    <w:rsid w:val="00F15695"/>
    <w:rsid w:val="00FD338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character" w:customStyle="1" w:styleId="TabletextChar">
    <w:name w:val="Table text Char"/>
    <w:link w:val="Tabletext"/>
    <w:locked/>
    <w:rsid w:val="006C38E4"/>
    <w:rPr>
      <w:rFonts w:ascii="Verdana" w:eastAsia="Times New Roman" w:hAnsi="Verdana" w:cs="Arial"/>
      <w:sz w:val="16"/>
      <w:szCs w:val="24"/>
    </w:rPr>
  </w:style>
  <w:style w:type="paragraph" w:customStyle="1" w:styleId="Text-bullet">
    <w:name w:val="Text-bullet"/>
    <w:basedOn w:val="Normal"/>
    <w:rsid w:val="006C38E4"/>
    <w:pPr>
      <w:numPr>
        <w:numId w:val="4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6C38E4"/>
    <w:pPr>
      <w:tabs>
        <w:tab w:val="clear" w:pos="360"/>
        <w:tab w:val="num" w:pos="240"/>
      </w:tabs>
      <w:spacing w:before="60" w:after="60"/>
      <w:ind w:left="340" w:right="0"/>
    </w:pPr>
  </w:style>
  <w:style w:type="paragraph" w:styleId="Header">
    <w:name w:val="header"/>
    <w:basedOn w:val="Normal"/>
    <w:link w:val="HeaderChar"/>
    <w:uiPriority w:val="99"/>
    <w:unhideWhenUsed/>
    <w:rsid w:val="006C38E4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C38E4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2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841DB-ABC1-4318-93C8-CFEEC0B71C30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Chapman2, Rachel</cp:lastModifiedBy>
  <cp:revision>3</cp:revision>
  <dcterms:created xsi:type="dcterms:W3CDTF">2019-08-29T13:39:00Z</dcterms:created>
  <dcterms:modified xsi:type="dcterms:W3CDTF">2020-01-14T15:58:00Z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