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532"/>
        <w:gridCol w:w="2475"/>
        <w:gridCol w:w="1707"/>
        <w:gridCol w:w="726"/>
        <w:gridCol w:w="609"/>
        <w:gridCol w:w="711"/>
      </w:tblGrid>
      <w:tr w:rsidR="000F0257" w14:paraId="3F929C82" w14:textId="03B0101A" w:rsidTr="00D34FAF">
        <w:trPr>
          <w:trHeight w:val="360"/>
        </w:trPr>
        <w:tc>
          <w:tcPr>
            <w:tcW w:w="2830" w:type="dxa"/>
            <w:vAlign w:val="center"/>
          </w:tcPr>
          <w:p w14:paraId="57D73229" w14:textId="45DA56F8" w:rsidR="00E96AE5" w:rsidRPr="00F27F8A" w:rsidRDefault="00E96AE5" w:rsidP="00E96AE5">
            <w:pPr>
              <w:spacing w:after="0"/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 xml:space="preserve">Business </w:t>
            </w:r>
            <w:r w:rsidR="00D34FAF">
              <w:rPr>
                <w:rFonts w:cstheme="minorHAnsi"/>
                <w:b/>
              </w:rPr>
              <w:t>BTEC</w:t>
            </w:r>
          </w:p>
          <w:p w14:paraId="28B4EA70" w14:textId="0E136E83" w:rsidR="00E85B48" w:rsidRPr="00F27F8A" w:rsidRDefault="00C77ED4" w:rsidP="00E96AE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B12B6" w:rsidRPr="00F27F8A">
              <w:rPr>
                <w:rFonts w:cstheme="minorHAnsi"/>
                <w:b/>
              </w:rPr>
              <w:t>.</w:t>
            </w:r>
            <w:r w:rsidR="00563E7D">
              <w:rPr>
                <w:rFonts w:cstheme="minorHAnsi"/>
                <w:b/>
              </w:rPr>
              <w:t>3</w:t>
            </w:r>
            <w:r w:rsidR="00DB12B6" w:rsidRPr="00F27F8A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International Business</w:t>
            </w:r>
            <w:r w:rsidR="00DF21BB" w:rsidRPr="00F27F8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760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D34FAF">
        <w:trPr>
          <w:trHeight w:val="324"/>
        </w:trPr>
        <w:tc>
          <w:tcPr>
            <w:tcW w:w="2830" w:type="dxa"/>
            <w:vMerge w:val="restart"/>
          </w:tcPr>
          <w:p w14:paraId="72887347" w14:textId="59564B14" w:rsidR="000B079A" w:rsidRPr="009B2E6E" w:rsidRDefault="000B079A" w:rsidP="00B24E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B2E6E">
              <w:rPr>
                <w:rFonts w:cstheme="minorHAnsi"/>
                <w:sz w:val="20"/>
                <w:szCs w:val="20"/>
              </w:rPr>
              <w:t>In this unit you will</w:t>
            </w:r>
            <w:r w:rsidR="009B2E6E" w:rsidRPr="009B2E6E">
              <w:rPr>
                <w:rFonts w:cstheme="minorHAnsi"/>
                <w:sz w:val="20"/>
                <w:szCs w:val="20"/>
              </w:rPr>
              <w:t xml:space="preserve"> in</w:t>
            </w:r>
            <w:r w:rsidR="009B2E6E" w:rsidRPr="009B2E6E">
              <w:rPr>
                <w:sz w:val="20"/>
                <w:szCs w:val="20"/>
              </w:rPr>
              <w:t xml:space="preserve">vestigate </w:t>
            </w:r>
            <w:r w:rsidR="00563E7D">
              <w:rPr>
                <w:sz w:val="20"/>
                <w:szCs w:val="20"/>
              </w:rPr>
              <w:t>strategies and resources used when a business enters an international market</w:t>
            </w:r>
            <w:r w:rsidR="009B2E6E" w:rsidRPr="009B2E6E">
              <w:rPr>
                <w:sz w:val="20"/>
                <w:szCs w:val="20"/>
              </w:rPr>
              <w:t xml:space="preserve"> </w:t>
            </w:r>
          </w:p>
          <w:p w14:paraId="4F2EF46A" w14:textId="266CD5A4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LG1</w:t>
            </w:r>
            <w:r w:rsidRPr="00F27F8A">
              <w:rPr>
                <w:rFonts w:cstheme="minorHAnsi"/>
                <w:sz w:val="20"/>
              </w:rPr>
              <w:t>: Knowledge</w:t>
            </w:r>
          </w:p>
          <w:p w14:paraId="384CC0B5" w14:textId="6E7B450D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LG2</w:t>
            </w:r>
            <w:r w:rsidRPr="00F27F8A">
              <w:rPr>
                <w:rFonts w:cstheme="minorHAnsi"/>
                <w:sz w:val="20"/>
              </w:rPr>
              <w:t>: Application</w:t>
            </w:r>
          </w:p>
          <w:p w14:paraId="49C0DC09" w14:textId="32861EE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b/>
                <w:sz w:val="20"/>
              </w:rPr>
              <w:t>LG3</w:t>
            </w:r>
            <w:r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532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D34FAF">
        <w:trPr>
          <w:trHeight w:val="330"/>
        </w:trPr>
        <w:tc>
          <w:tcPr>
            <w:tcW w:w="2830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28A163F" w14:textId="6F734B5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D34FAF">
        <w:trPr>
          <w:trHeight w:val="285"/>
        </w:trPr>
        <w:tc>
          <w:tcPr>
            <w:tcW w:w="2830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D34FAF">
        <w:trPr>
          <w:trHeight w:val="255"/>
        </w:trPr>
        <w:tc>
          <w:tcPr>
            <w:tcW w:w="2830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63CC1AA7" w14:textId="289AEA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5EB474FB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D34FAF">
        <w:trPr>
          <w:trHeight w:val="270"/>
        </w:trPr>
        <w:tc>
          <w:tcPr>
            <w:tcW w:w="2830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630AE720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D34FAF">
        <w:trPr>
          <w:trHeight w:val="315"/>
        </w:trPr>
        <w:tc>
          <w:tcPr>
            <w:tcW w:w="2830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007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7136BA01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D34FAF">
        <w:trPr>
          <w:trHeight w:val="62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5714" w:type="dxa"/>
            <w:gridSpan w:val="3"/>
            <w:shd w:val="clear" w:color="auto" w:fill="D9D9D9" w:themeFill="background1" w:themeFillShade="D9"/>
            <w:vAlign w:val="center"/>
          </w:tcPr>
          <w:p w14:paraId="6C88901A" w14:textId="5E370C51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76255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10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10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10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:rsidRPr="004108D7" w14:paraId="58E06230" w14:textId="360435D8" w:rsidTr="00D34FAF">
        <w:trPr>
          <w:trHeight w:val="210"/>
        </w:trPr>
        <w:tc>
          <w:tcPr>
            <w:tcW w:w="2830" w:type="dxa"/>
          </w:tcPr>
          <w:p w14:paraId="59E8F3DE" w14:textId="509F4684" w:rsidR="00CE49C5" w:rsidRPr="009B2E6E" w:rsidRDefault="00563E7D" w:rsidP="009B2E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63E7D">
              <w:rPr>
                <w:rFonts w:cstheme="minorHAnsi"/>
                <w:b/>
                <w:bCs/>
              </w:rPr>
              <w:t>Strategies for operating internationally</w:t>
            </w:r>
          </w:p>
        </w:tc>
        <w:tc>
          <w:tcPr>
            <w:tcW w:w="5714" w:type="dxa"/>
            <w:gridSpan w:val="3"/>
          </w:tcPr>
          <w:p w14:paraId="5AEF2F7A" w14:textId="77777777" w:rsidR="00563E7D" w:rsidRPr="00563E7D" w:rsidRDefault="00563E7D" w:rsidP="00563E7D">
            <w:pPr>
              <w:pStyle w:val="Tablesub-bullets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E7D">
              <w:rPr>
                <w:rFonts w:asciiTheme="minorHAnsi" w:hAnsiTheme="minorHAnsi" w:cstheme="minorHAnsi"/>
                <w:sz w:val="22"/>
                <w:szCs w:val="22"/>
              </w:rPr>
              <w:t>LG1: To understand the strategies for operating internationally</w:t>
            </w:r>
          </w:p>
          <w:p w14:paraId="0C0D6643" w14:textId="77777777" w:rsidR="00563E7D" w:rsidRPr="00563E7D" w:rsidRDefault="00563E7D" w:rsidP="00563E7D">
            <w:pPr>
              <w:pStyle w:val="Tablesub-bullets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E7D">
              <w:rPr>
                <w:rFonts w:asciiTheme="minorHAnsi" w:hAnsiTheme="minorHAnsi" w:cstheme="minorHAnsi"/>
                <w:sz w:val="22"/>
                <w:szCs w:val="22"/>
              </w:rPr>
              <w:t>LG2: To be able to apply the international strategies to real world businesses</w:t>
            </w:r>
          </w:p>
          <w:p w14:paraId="6211553F" w14:textId="3D05B43C" w:rsidR="00563E7D" w:rsidRPr="00563E7D" w:rsidRDefault="00563E7D" w:rsidP="00563E7D">
            <w:pPr>
              <w:pStyle w:val="Tablesub-bullets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3E7D">
              <w:rPr>
                <w:rFonts w:asciiTheme="minorHAnsi" w:hAnsiTheme="minorHAnsi" w:cstheme="minorHAnsi"/>
                <w:sz w:val="22"/>
                <w:szCs w:val="22"/>
              </w:rPr>
              <w:t>LG3: To analyse and evaluate the reasons for selecting strategies</w:t>
            </w:r>
          </w:p>
        </w:tc>
        <w:tc>
          <w:tcPr>
            <w:tcW w:w="726" w:type="dxa"/>
          </w:tcPr>
          <w:p w14:paraId="000DA362" w14:textId="3DC6C58D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4108D7" w:rsidRDefault="00E50992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0C01" w:rsidRPr="004108D7" w14:paraId="3C394219" w14:textId="77777777" w:rsidTr="00D34FAF">
        <w:trPr>
          <w:trHeight w:val="210"/>
        </w:trPr>
        <w:tc>
          <w:tcPr>
            <w:tcW w:w="2830" w:type="dxa"/>
          </w:tcPr>
          <w:p w14:paraId="43191A86" w14:textId="78FB9299" w:rsidR="00900C01" w:rsidRPr="009B2E6E" w:rsidRDefault="00563E7D" w:rsidP="009B2E6E">
            <w:pPr>
              <w:pStyle w:val="Topic"/>
              <w:spacing w:before="0" w:after="0" w:line="240" w:lineRule="auto"/>
              <w:rPr>
                <w:rFonts w:asciiTheme="minorHAnsi" w:eastAsia="Batang" w:hAnsiTheme="minorHAnsi" w:cstheme="minorHAnsi"/>
                <w:bCs/>
                <w:sz w:val="22"/>
                <w:szCs w:val="22"/>
              </w:rPr>
            </w:pPr>
            <w:r w:rsidRPr="00563E7D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Re-engineering products and services to meet the international demand</w:t>
            </w:r>
            <w:r w:rsidRPr="00563E7D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  <w:gridSpan w:val="3"/>
          </w:tcPr>
          <w:p w14:paraId="5E661B6A" w14:textId="11CC0204" w:rsidR="00563E7D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LG1: To know how and why products are re-engineered to meet demands and needs of international markets</w:t>
            </w:r>
          </w:p>
          <w:p w14:paraId="5DF70238" w14:textId="3A7E13D7" w:rsidR="00563E7D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LG2: To research real world examples of the re-engineering of products</w:t>
            </w:r>
          </w:p>
          <w:p w14:paraId="351B6A7C" w14:textId="681CF8B5" w:rsidR="00900C01" w:rsidRPr="00563E7D" w:rsidRDefault="00563E7D" w:rsidP="00563E7D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3E7D">
              <w:rPr>
                <w:rFonts w:asciiTheme="minorHAnsi" w:hAnsiTheme="minorHAnsi" w:cstheme="minorHAnsi"/>
                <w:sz w:val="22"/>
                <w:szCs w:val="22"/>
              </w:rPr>
              <w:t>LG3 To analyse&amp; evaluate the re-engineering of products to meet the demands and preferences of international markets.</w:t>
            </w:r>
          </w:p>
        </w:tc>
        <w:tc>
          <w:tcPr>
            <w:tcW w:w="726" w:type="dxa"/>
          </w:tcPr>
          <w:p w14:paraId="77D0EEC9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256589C3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362B151" w14:textId="77777777" w:rsidR="00900C01" w:rsidRPr="004108D7" w:rsidRDefault="00900C01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E416C" w:rsidRPr="004108D7" w14:paraId="6905CFC4" w14:textId="77777777" w:rsidTr="00D34FAF">
        <w:trPr>
          <w:trHeight w:val="225"/>
        </w:trPr>
        <w:tc>
          <w:tcPr>
            <w:tcW w:w="2830" w:type="dxa"/>
          </w:tcPr>
          <w:p w14:paraId="498DDBB4" w14:textId="141CA9C3" w:rsidR="008E416C" w:rsidRPr="009B2E6E" w:rsidRDefault="00563E7D" w:rsidP="009B2E6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63E7D">
              <w:rPr>
                <w:rFonts w:cstheme="minorHAnsi"/>
                <w:b/>
                <w:bCs/>
              </w:rPr>
              <w:t>Resource considerations</w:t>
            </w:r>
          </w:p>
        </w:tc>
        <w:tc>
          <w:tcPr>
            <w:tcW w:w="5714" w:type="dxa"/>
            <w:gridSpan w:val="3"/>
          </w:tcPr>
          <w:p w14:paraId="33ACE42A" w14:textId="3B39845C" w:rsidR="00563E7D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LG1: To know the main costs/considerations involved in international growth</w:t>
            </w:r>
          </w:p>
          <w:p w14:paraId="1C2B7F08" w14:textId="15AD7A4C" w:rsidR="00563E7D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LG2: To apply resource considerations to real world businesses</w:t>
            </w:r>
          </w:p>
          <w:p w14:paraId="4BB518D1" w14:textId="77777777" w:rsidR="00563E7D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LG3: To analyse the effectiveness of the strategies and resources used by a</w:t>
            </w:r>
          </w:p>
          <w:p w14:paraId="41477595" w14:textId="7D85EBA1" w:rsidR="00E96AE5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selected international business</w:t>
            </w:r>
          </w:p>
        </w:tc>
        <w:tc>
          <w:tcPr>
            <w:tcW w:w="726" w:type="dxa"/>
          </w:tcPr>
          <w:p w14:paraId="6232629A" w14:textId="0FC0279D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8E416C" w:rsidRPr="004108D7" w:rsidRDefault="008E416C" w:rsidP="00B24E5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491A" w:rsidRPr="004108D7" w14:paraId="0FBDD03C" w14:textId="77777777" w:rsidTr="00D34FAF">
        <w:trPr>
          <w:trHeight w:val="225"/>
        </w:trPr>
        <w:tc>
          <w:tcPr>
            <w:tcW w:w="2830" w:type="dxa"/>
          </w:tcPr>
          <w:p w14:paraId="63F525B8" w14:textId="7852897F" w:rsidR="00E96AE5" w:rsidRPr="009B2E6E" w:rsidRDefault="00563E7D" w:rsidP="009B2E6E">
            <w:pPr>
              <w:pStyle w:val="Tabletextbullets"/>
              <w:numPr>
                <w:ilvl w:val="0"/>
                <w:numId w:val="0"/>
              </w:numPr>
              <w:spacing w:line="240" w:lineRule="auto"/>
              <w:ind w:left="397" w:hanging="39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Selecting a business through research</w:t>
            </w:r>
            <w:r w:rsidR="009B2E6E"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14" w:type="dxa"/>
            <w:gridSpan w:val="3"/>
          </w:tcPr>
          <w:p w14:paraId="59CADAFC" w14:textId="77777777" w:rsid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LG2: To research and select businesses for assignment considering the strategies used for international expansion</w:t>
            </w:r>
          </w:p>
          <w:p w14:paraId="4EB4E1E1" w14:textId="6D9CCE19" w:rsidR="008D491A" w:rsidRPr="00563E7D" w:rsidRDefault="00563E7D" w:rsidP="00563E7D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LG3: To analyse the reasons for selecting a given strategy</w:t>
            </w:r>
          </w:p>
        </w:tc>
        <w:tc>
          <w:tcPr>
            <w:tcW w:w="726" w:type="dxa"/>
          </w:tcPr>
          <w:p w14:paraId="0C4A4D02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8D491A" w:rsidRPr="004108D7" w:rsidRDefault="008D491A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B5004" w:rsidRPr="004108D7" w14:paraId="062B3143" w14:textId="77777777" w:rsidTr="00D34FAF">
        <w:trPr>
          <w:trHeight w:val="225"/>
        </w:trPr>
        <w:tc>
          <w:tcPr>
            <w:tcW w:w="2830" w:type="dxa"/>
          </w:tcPr>
          <w:p w14:paraId="22AF1D2A" w14:textId="2D5B9202" w:rsidR="008B5004" w:rsidRPr="009B2E6E" w:rsidRDefault="00563E7D" w:rsidP="009B2E6E">
            <w:pPr>
              <w:pStyle w:val="text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Evaluating success of strategies and resources</w:t>
            </w:r>
          </w:p>
        </w:tc>
        <w:tc>
          <w:tcPr>
            <w:tcW w:w="5714" w:type="dxa"/>
            <w:gridSpan w:val="3"/>
          </w:tcPr>
          <w:p w14:paraId="32FE8BC8" w14:textId="5EE84328" w:rsidR="008B5004" w:rsidRPr="00563E7D" w:rsidRDefault="00563E7D" w:rsidP="009B2E6E">
            <w:pPr>
              <w:spacing w:after="0" w:line="240" w:lineRule="auto"/>
              <w:rPr>
                <w:rFonts w:cstheme="minorHAnsi"/>
              </w:rPr>
            </w:pPr>
            <w:r w:rsidRPr="00563E7D">
              <w:rPr>
                <w:rFonts w:cstheme="minorHAnsi"/>
              </w:rPr>
              <w:t>LG3: To evaluate the success of the strategies and resources used by a selected international business in one of its markets</w:t>
            </w:r>
          </w:p>
        </w:tc>
        <w:tc>
          <w:tcPr>
            <w:tcW w:w="726" w:type="dxa"/>
          </w:tcPr>
          <w:p w14:paraId="6A4541FC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8B5004" w:rsidRPr="004108D7" w:rsidRDefault="008B5004" w:rsidP="00B24E5E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27F8A" w:rsidRPr="004108D7" w14:paraId="4B19D765" w14:textId="77777777" w:rsidTr="00D34FAF">
        <w:trPr>
          <w:trHeight w:val="225"/>
        </w:trPr>
        <w:tc>
          <w:tcPr>
            <w:tcW w:w="2830" w:type="dxa"/>
          </w:tcPr>
          <w:p w14:paraId="53503B68" w14:textId="1D2AC750" w:rsidR="00F27F8A" w:rsidRPr="009B2E6E" w:rsidRDefault="004108D7" w:rsidP="009B2E6E">
            <w:pPr>
              <w:pStyle w:val="text"/>
              <w:spacing w:before="0"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2E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Assignment 5.</w:t>
            </w:r>
            <w:r w:rsidR="00563E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14" w:type="dxa"/>
            <w:gridSpan w:val="3"/>
          </w:tcPr>
          <w:p w14:paraId="3E02488A" w14:textId="77777777" w:rsidR="00563E7D" w:rsidRDefault="00563E7D" w:rsidP="00563E7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63E7D">
              <w:rPr>
                <w:rFonts w:cstheme="minorHAnsi"/>
                <w:bCs/>
              </w:rPr>
              <w:t xml:space="preserve">P8 Explain how products and processes </w:t>
            </w:r>
            <w:proofErr w:type="gramStart"/>
            <w:r w:rsidRPr="00563E7D">
              <w:rPr>
                <w:rFonts w:cstheme="minorHAnsi"/>
                <w:bCs/>
              </w:rPr>
              <w:t>have to</w:t>
            </w:r>
            <w:proofErr w:type="gramEnd"/>
            <w:r w:rsidRPr="00563E7D">
              <w:rPr>
                <w:rFonts w:cstheme="minorHAnsi"/>
                <w:bCs/>
              </w:rPr>
              <w:t xml:space="preserve"> be adapted for international markets by a selected business.</w:t>
            </w:r>
          </w:p>
          <w:p w14:paraId="598452EA" w14:textId="4ECB035A" w:rsidR="00563E7D" w:rsidRPr="00563E7D" w:rsidRDefault="00563E7D" w:rsidP="00563E7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63E7D">
              <w:rPr>
                <w:rFonts w:cstheme="minorHAnsi"/>
                <w:bCs/>
              </w:rPr>
              <w:t>M5 Analyse the effectiveness of the strategies and resources used by a</w:t>
            </w:r>
            <w:r>
              <w:rPr>
                <w:rFonts w:cstheme="minorHAnsi"/>
                <w:bCs/>
              </w:rPr>
              <w:t xml:space="preserve"> </w:t>
            </w:r>
            <w:r w:rsidRPr="00563E7D">
              <w:rPr>
                <w:rFonts w:cstheme="minorHAnsi"/>
                <w:bCs/>
              </w:rPr>
              <w:t>selected international business</w:t>
            </w:r>
          </w:p>
          <w:p w14:paraId="4803EAFC" w14:textId="61B3EE54" w:rsidR="00345B33" w:rsidRPr="00563E7D" w:rsidRDefault="00563E7D" w:rsidP="00563E7D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63E7D">
              <w:rPr>
                <w:rFonts w:cstheme="minorHAnsi"/>
                <w:bCs/>
              </w:rPr>
              <w:t>D4 Evaluate the success of the strategies and resources used by a</w:t>
            </w:r>
            <w:r>
              <w:rPr>
                <w:rFonts w:cstheme="minorHAnsi"/>
                <w:bCs/>
              </w:rPr>
              <w:t xml:space="preserve"> </w:t>
            </w:r>
            <w:r w:rsidRPr="00563E7D">
              <w:rPr>
                <w:rFonts w:cstheme="minorHAnsi"/>
                <w:bCs/>
              </w:rPr>
              <w:t>selected international</w:t>
            </w:r>
            <w:r w:rsidRPr="00563E7D">
              <w:rPr>
                <w:rFonts w:cstheme="minorHAnsi"/>
                <w:b/>
              </w:rPr>
              <w:t xml:space="preserve"> </w:t>
            </w:r>
            <w:r w:rsidRPr="00563E7D">
              <w:rPr>
                <w:rFonts w:cstheme="minorHAnsi"/>
                <w:bCs/>
              </w:rPr>
              <w:t>business in</w:t>
            </w:r>
            <w:r w:rsidRPr="00563E7D">
              <w:rPr>
                <w:rFonts w:cstheme="minorHAnsi"/>
                <w:b/>
              </w:rPr>
              <w:t xml:space="preserve"> one </w:t>
            </w:r>
            <w:r w:rsidRPr="00563E7D">
              <w:rPr>
                <w:rFonts w:cstheme="minorHAnsi"/>
                <w:bCs/>
              </w:rPr>
              <w:t>of its markets</w:t>
            </w:r>
          </w:p>
        </w:tc>
        <w:tc>
          <w:tcPr>
            <w:tcW w:w="726" w:type="dxa"/>
          </w:tcPr>
          <w:p w14:paraId="595A9618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609" w:type="dxa"/>
          </w:tcPr>
          <w:p w14:paraId="033CFAAD" w14:textId="177D9193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55697E29" w14:textId="77777777" w:rsidR="00F27F8A" w:rsidRPr="004108D7" w:rsidRDefault="00F27F8A" w:rsidP="00E96AE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0205C42" w14:textId="35DD75FB" w:rsidR="004108D7" w:rsidRDefault="00563E7D">
      <w:pPr>
        <w:rPr>
          <w:rFonts w:cstheme="minorHAnsi"/>
          <w:bCs/>
          <w:sz w:val="20"/>
          <w:szCs w:val="20"/>
        </w:rPr>
      </w:pPr>
      <w:r w:rsidRPr="004108D7">
        <w:rPr>
          <w:rFonts w:cstheme="minorHAnsi"/>
          <w:b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0C0401B1">
                <wp:simplePos x="0" y="0"/>
                <wp:positionH relativeFrom="margin">
                  <wp:align>left</wp:align>
                </wp:positionH>
                <wp:positionV relativeFrom="paragraph">
                  <wp:posOffset>7820025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2AE67C20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This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is taught alongside Unit 1 some basic knowledge on ownership and size/scale will support learning in this unit.</w:t>
                            </w:r>
                            <w:r w:rsidR="009B2E6E">
                              <w:rPr>
                                <w:rFonts w:cstheme="minorHAnsi"/>
                                <w:sz w:val="20"/>
                              </w:rPr>
                              <w:t xml:space="preserve"> 1.2 also has a business environment focus.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 xml:space="preserve"> Finance options covered in 5.1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4F4809E4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Knowledge of 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>the impact of the business environment is important for the external exams -Unit 2 and Unit 6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.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</w:p>
                          <w:p w14:paraId="7587D11B" w14:textId="496AE219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 xml:space="preserve"> This unit requires extensive application which will be developed further in later units.</w:t>
                            </w:r>
                          </w:p>
                          <w:p w14:paraId="34806E5B" w14:textId="591EA839" w:rsidR="00E96AE5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011491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: Development of analysis and evaluation is vital for making business judgements throughout the course and </w:t>
                            </w:r>
                            <w:r w:rsidR="00011491">
                              <w:rPr>
                                <w:rFonts w:cstheme="minorHAnsi"/>
                                <w:sz w:val="20"/>
                              </w:rPr>
                              <w:t>this skill is developed in this unit.</w:t>
                            </w:r>
                          </w:p>
                          <w:p w14:paraId="08286F19" w14:textId="37B76151" w:rsidR="00011491" w:rsidRPr="00F27F8A" w:rsidRDefault="00011491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345B33">
                              <w:rPr>
                                <w:rFonts w:cstheme="minorHAnsi"/>
                                <w:b/>
                                <w:bCs/>
                                <w:sz w:val="20"/>
                              </w:rPr>
                              <w:t>LG3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: Independent research skills are also developed</w:t>
                            </w:r>
                            <w:r w:rsidR="00345B33">
                              <w:rPr>
                                <w:rFonts w:cstheme="minorHAnsi"/>
                                <w:sz w:val="20"/>
                              </w:rPr>
                              <w:t xml:space="preserve"> and are essential to achieving Distinction grades.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15.75pt;width:530.25pt;height:156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2AE67C20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This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is taught alongside Unit 1 some basic knowledge on ownership and size/scale will support learning in this unit.</w:t>
                      </w:r>
                      <w:r w:rsidR="009B2E6E">
                        <w:rPr>
                          <w:rFonts w:cstheme="minorHAnsi"/>
                          <w:sz w:val="20"/>
                        </w:rPr>
                        <w:t xml:space="preserve"> 1.2 also has a business environment focus.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 xml:space="preserve"> Finance options covered in 5.1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4F4809E4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LG1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Knowledge of 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>the impact of the business environment is important for the external exams -Unit 2 and Unit 6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.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</w:p>
                    <w:p w14:paraId="7587D11B" w14:textId="496AE219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LG2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 xml:space="preserve"> This unit requires extensive application which will be developed further in later units.</w:t>
                      </w:r>
                    </w:p>
                    <w:p w14:paraId="34806E5B" w14:textId="591EA839" w:rsidR="00E96AE5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011491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: Development of analysis and evaluation is vital for making business judgements throughout the course and </w:t>
                      </w:r>
                      <w:r w:rsidR="00011491">
                        <w:rPr>
                          <w:rFonts w:cstheme="minorHAnsi"/>
                          <w:sz w:val="20"/>
                        </w:rPr>
                        <w:t>this skill is developed in this unit.</w:t>
                      </w:r>
                    </w:p>
                    <w:p w14:paraId="08286F19" w14:textId="37B76151" w:rsidR="00011491" w:rsidRPr="00F27F8A" w:rsidRDefault="00011491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345B33">
                        <w:rPr>
                          <w:rFonts w:cstheme="minorHAnsi"/>
                          <w:b/>
                          <w:bCs/>
                          <w:sz w:val="20"/>
                        </w:rPr>
                        <w:t>LG3</w:t>
                      </w:r>
                      <w:r>
                        <w:rPr>
                          <w:rFonts w:cstheme="minorHAnsi"/>
                          <w:sz w:val="20"/>
                        </w:rPr>
                        <w:t>: Independent research skills are also developed</w:t>
                      </w:r>
                      <w:r w:rsidR="00345B33">
                        <w:rPr>
                          <w:rFonts w:cstheme="minorHAnsi"/>
                          <w:sz w:val="20"/>
                        </w:rPr>
                        <w:t xml:space="preserve"> and are essential to achieving Distinction grades.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8FA2B" w14:textId="591280A1" w:rsidR="004108D7" w:rsidRDefault="004108D7">
      <w:pPr>
        <w:rPr>
          <w:rFonts w:cstheme="minorHAnsi"/>
          <w:bCs/>
          <w:sz w:val="20"/>
          <w:szCs w:val="20"/>
        </w:rPr>
      </w:pPr>
    </w:p>
    <w:p w14:paraId="00A0CD7B" w14:textId="4BCECF8A" w:rsidR="004108D7" w:rsidRDefault="004108D7">
      <w:pPr>
        <w:rPr>
          <w:rFonts w:cstheme="minorHAnsi"/>
          <w:bCs/>
          <w:sz w:val="20"/>
          <w:szCs w:val="20"/>
        </w:rPr>
      </w:pPr>
    </w:p>
    <w:p w14:paraId="3B2DFAE8" w14:textId="62DB4AF5" w:rsidR="004108D7" w:rsidRDefault="004108D7">
      <w:pPr>
        <w:rPr>
          <w:rFonts w:cstheme="minorHAnsi"/>
          <w:bCs/>
          <w:sz w:val="20"/>
          <w:szCs w:val="20"/>
        </w:rPr>
      </w:pPr>
    </w:p>
    <w:p w14:paraId="7B8FD60D" w14:textId="1E1AE9BA" w:rsidR="004108D7" w:rsidRDefault="004108D7">
      <w:pPr>
        <w:rPr>
          <w:rFonts w:cstheme="minorHAnsi"/>
          <w:bCs/>
          <w:sz w:val="20"/>
          <w:szCs w:val="20"/>
        </w:rPr>
      </w:pPr>
    </w:p>
    <w:p w14:paraId="07C723F2" w14:textId="5437E2E2" w:rsidR="00471B37" w:rsidRPr="004108D7" w:rsidRDefault="00471B37">
      <w:pPr>
        <w:rPr>
          <w:rFonts w:cstheme="minorHAnsi"/>
          <w:bCs/>
          <w:sz w:val="20"/>
          <w:szCs w:val="20"/>
        </w:rPr>
      </w:pPr>
    </w:p>
    <w:sectPr w:rsidR="00471B37" w:rsidRPr="004108D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7A1"/>
    <w:multiLevelType w:val="hybridMultilevel"/>
    <w:tmpl w:val="DA5EFDCC"/>
    <w:lvl w:ilvl="0" w:tplc="262854BC">
      <w:start w:val="1"/>
      <w:numFmt w:val="bullet"/>
      <w:pStyle w:val="Tablesub-bullets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FC6BB3"/>
    <w:multiLevelType w:val="hybridMultilevel"/>
    <w:tmpl w:val="647C809E"/>
    <w:lvl w:ilvl="0" w:tplc="2DA8DAD4">
      <w:start w:val="1"/>
      <w:numFmt w:val="bullet"/>
      <w:pStyle w:val="Tex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BF2C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64C"/>
    <w:multiLevelType w:val="hybridMultilevel"/>
    <w:tmpl w:val="B7A0E24E"/>
    <w:lvl w:ilvl="0" w:tplc="1C3C8F14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11491"/>
    <w:rsid w:val="00033CD4"/>
    <w:rsid w:val="00060C50"/>
    <w:rsid w:val="000A4ADB"/>
    <w:rsid w:val="000B079A"/>
    <w:rsid w:val="000F0257"/>
    <w:rsid w:val="001035B1"/>
    <w:rsid w:val="0014067C"/>
    <w:rsid w:val="001B243D"/>
    <w:rsid w:val="001C3968"/>
    <w:rsid w:val="001E2CA9"/>
    <w:rsid w:val="001E6A96"/>
    <w:rsid w:val="001E7AF2"/>
    <w:rsid w:val="00274AAC"/>
    <w:rsid w:val="002A28AD"/>
    <w:rsid w:val="002F259E"/>
    <w:rsid w:val="0033675A"/>
    <w:rsid w:val="003459B1"/>
    <w:rsid w:val="00345B33"/>
    <w:rsid w:val="003928C4"/>
    <w:rsid w:val="003B3F69"/>
    <w:rsid w:val="003C6DFD"/>
    <w:rsid w:val="004108D7"/>
    <w:rsid w:val="00433404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63E7D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00C01"/>
    <w:rsid w:val="009531B2"/>
    <w:rsid w:val="00971232"/>
    <w:rsid w:val="009B2E6E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BE09BF"/>
    <w:rsid w:val="00C010E9"/>
    <w:rsid w:val="00C46DA0"/>
    <w:rsid w:val="00C7069B"/>
    <w:rsid w:val="00C77ED4"/>
    <w:rsid w:val="00CE49C5"/>
    <w:rsid w:val="00CF284B"/>
    <w:rsid w:val="00D137E1"/>
    <w:rsid w:val="00D34FAF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link w:val="TabletextChar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link w:val="TabletextbulletsChar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ext1">
    <w:name w:val="Text1"/>
    <w:basedOn w:val="Normal"/>
    <w:rsid w:val="00C77ED4"/>
    <w:pPr>
      <w:numPr>
        <w:numId w:val="9"/>
      </w:numPr>
      <w:spacing w:before="40" w:after="40" w:line="200" w:lineRule="atLeast"/>
      <w:ind w:left="340" w:hanging="340"/>
    </w:pPr>
    <w:rPr>
      <w:rFonts w:ascii="Trebuchet MS" w:eastAsia="Times New Roman" w:hAnsi="Trebuchet MS" w:cs="Times New Roman"/>
      <w:sz w:val="16"/>
      <w:szCs w:val="16"/>
    </w:rPr>
  </w:style>
  <w:style w:type="character" w:customStyle="1" w:styleId="TabletextChar">
    <w:name w:val="Table text Char"/>
    <w:link w:val="Tabletext"/>
    <w:locked/>
    <w:rsid w:val="00C77ED4"/>
    <w:rPr>
      <w:rFonts w:ascii="Verdana" w:eastAsia="Times New Roman" w:hAnsi="Verdana" w:cs="Arial"/>
      <w:sz w:val="16"/>
      <w:szCs w:val="24"/>
    </w:rPr>
  </w:style>
  <w:style w:type="paragraph" w:customStyle="1" w:styleId="Tablesub-bullets">
    <w:name w:val="Table sub-bullets"/>
    <w:basedOn w:val="Tablebullets"/>
    <w:rsid w:val="00C77ED4"/>
    <w:pPr>
      <w:numPr>
        <w:numId w:val="10"/>
      </w:numPr>
      <w:spacing w:before="80" w:after="80" w:line="240" w:lineRule="auto"/>
      <w:textAlignment w:val="baseline"/>
    </w:pPr>
    <w:rPr>
      <w:rFonts w:cs="Arial"/>
      <w:color w:val="000000"/>
      <w:szCs w:val="23"/>
      <w:lang w:eastAsia="en-GB"/>
    </w:rPr>
  </w:style>
  <w:style w:type="character" w:customStyle="1" w:styleId="TabletextbulletsChar">
    <w:name w:val="Table text bullets Char"/>
    <w:link w:val="Tabletextbullets"/>
    <w:locked/>
    <w:rsid w:val="009B2E6E"/>
    <w:rPr>
      <w:rFonts w:ascii="Verdana" w:eastAsia="Times New Roman" w:hAnsi="Verdana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3cde8ce8-497b-4d58-ad3b-77e996642c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c2ace7b-0193-49d6-b28f-a6c5f1daf0a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06F25D-AB05-4A6F-9118-DE644132B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3</cp:revision>
  <cp:lastPrinted>2019-07-18T11:43:00Z</cp:lastPrinted>
  <dcterms:created xsi:type="dcterms:W3CDTF">2020-07-17T08:49:00Z</dcterms:created>
  <dcterms:modified xsi:type="dcterms:W3CDTF">2020-07-17T08:59:00Z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