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15980A27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334E2A">
              <w:rPr>
                <w:b/>
                <w:sz w:val="24"/>
                <w:szCs w:val="24"/>
              </w:rPr>
              <w:t>1</w:t>
            </w:r>
            <w:r w:rsidR="00C710BD">
              <w:rPr>
                <w:b/>
                <w:sz w:val="24"/>
                <w:szCs w:val="24"/>
              </w:rPr>
              <w:t>9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334E2A" w:rsidRPr="00D44DF3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C710BD">
              <w:rPr>
                <w:rFonts w:ascii="Century Gothic" w:hAnsi="Century Gothic" w:cstheme="minorHAnsi"/>
                <w:b/>
                <w:sz w:val="20"/>
                <w:szCs w:val="20"/>
              </w:rPr>
              <w:t>Congruence, similarity and vectors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57EEC8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C710BD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4B4A28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1650058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19a Similarity and Congruence in 2d. </w:t>
            </w:r>
          </w:p>
        </w:tc>
        <w:tc>
          <w:tcPr>
            <w:tcW w:w="6564" w:type="dxa"/>
            <w:gridSpan w:val="3"/>
          </w:tcPr>
          <w:p w14:paraId="6211553F" w14:textId="173F58AF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the basic congruence criteria for triangles (SSS, SAS, ASA and RHS);</w:t>
            </w:r>
          </w:p>
        </w:tc>
        <w:tc>
          <w:tcPr>
            <w:tcW w:w="726" w:type="dxa"/>
          </w:tcPr>
          <w:p w14:paraId="000DA362" w14:textId="3DC6C58D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6CFDCAEB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angle problems involving congruence;</w:t>
            </w:r>
          </w:p>
        </w:tc>
        <w:tc>
          <w:tcPr>
            <w:tcW w:w="726" w:type="dxa"/>
          </w:tcPr>
          <w:p w14:paraId="6232629A" w14:textId="0FC0279D" w:rsidR="004B4A28" w:rsidRPr="001C3B09" w:rsidRDefault="004B4A28" w:rsidP="004B4A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4B4A28" w:rsidRPr="001C3B09" w:rsidRDefault="004B4A28" w:rsidP="004B4A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4B4A28" w:rsidRPr="001C3B09" w:rsidRDefault="004B4A28" w:rsidP="004B4A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47201D39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Identify shapes which are similar; including all circles or all regular polygons with equal number of sides;</w:t>
            </w:r>
          </w:p>
        </w:tc>
        <w:tc>
          <w:tcPr>
            <w:tcW w:w="726" w:type="dxa"/>
          </w:tcPr>
          <w:p w14:paraId="0C4A4D02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50EE738E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similarity of triangles and of other plane shapes, use this to make geometric inferences, and solve angle problems using similarity;</w:t>
            </w:r>
          </w:p>
        </w:tc>
        <w:tc>
          <w:tcPr>
            <w:tcW w:w="726" w:type="dxa"/>
          </w:tcPr>
          <w:p w14:paraId="58EB271F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6ADBCB84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the scale factor of an enlargement of a shape as the ratio of the lengths of two corresponding </w:t>
            </w:r>
            <w:proofErr w:type="gramStart"/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sides;</w:t>
            </w:r>
            <w:proofErr w:type="gramEnd"/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6A4541FC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7359522A" w14:textId="77777777" w:rsidTr="007F4F52">
        <w:trPr>
          <w:trHeight w:val="225"/>
        </w:trPr>
        <w:tc>
          <w:tcPr>
            <w:tcW w:w="1980" w:type="dxa"/>
            <w:vMerge/>
          </w:tcPr>
          <w:p w14:paraId="5905B77E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5D4F0A" w14:textId="0D1B824A" w:rsidR="004B4A28" w:rsidRPr="00183607" w:rsidRDefault="004B4A28" w:rsidP="004B4A28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the effect of enlargement on perimeter of shapes; </w:t>
            </w:r>
          </w:p>
        </w:tc>
        <w:tc>
          <w:tcPr>
            <w:tcW w:w="726" w:type="dxa"/>
          </w:tcPr>
          <w:p w14:paraId="55AE0C8C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242F81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43F16C5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1B47FBC5" w14:textId="77777777" w:rsidTr="007F4F52">
        <w:trPr>
          <w:trHeight w:val="225"/>
        </w:trPr>
        <w:tc>
          <w:tcPr>
            <w:tcW w:w="1980" w:type="dxa"/>
            <w:vMerge/>
          </w:tcPr>
          <w:p w14:paraId="36DBE9A0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D9E7C7D" w14:textId="736203C2" w:rsidR="004B4A28" w:rsidRPr="00183607" w:rsidRDefault="004B4A28" w:rsidP="004B4A28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to find missing lengths in similar shapes;</w:t>
            </w:r>
          </w:p>
        </w:tc>
        <w:tc>
          <w:tcPr>
            <w:tcW w:w="726" w:type="dxa"/>
          </w:tcPr>
          <w:p w14:paraId="341A8753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8C652AA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B5E49F4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6D0D50D6" w14:textId="77777777" w:rsidTr="007F4F52">
        <w:trPr>
          <w:trHeight w:val="225"/>
        </w:trPr>
        <w:tc>
          <w:tcPr>
            <w:tcW w:w="1980" w:type="dxa"/>
            <w:vMerge/>
          </w:tcPr>
          <w:p w14:paraId="7EA0F9C5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09AEB90" w14:textId="12371022" w:rsidR="004B4A28" w:rsidRPr="00183607" w:rsidRDefault="004B4A28" w:rsidP="004B4A28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Know that scale diagrams, including bearings and maps are ‘similar’ to the real-life examples.</w:t>
            </w:r>
          </w:p>
        </w:tc>
        <w:tc>
          <w:tcPr>
            <w:tcW w:w="726" w:type="dxa"/>
          </w:tcPr>
          <w:p w14:paraId="524BA37E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CBEABF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F97BC0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5F510662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19b Vectors</w:t>
            </w:r>
          </w:p>
        </w:tc>
        <w:tc>
          <w:tcPr>
            <w:tcW w:w="6564" w:type="dxa"/>
            <w:gridSpan w:val="3"/>
          </w:tcPr>
          <w:p w14:paraId="1C7FE625" w14:textId="760255BA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column notation in relation to vectors; </w:t>
            </w:r>
          </w:p>
        </w:tc>
        <w:tc>
          <w:tcPr>
            <w:tcW w:w="726" w:type="dxa"/>
          </w:tcPr>
          <w:p w14:paraId="71ACEA49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7A0331" w14:textId="54FB45F4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Be able to represent information graphically given column vectors;</w:t>
            </w:r>
          </w:p>
        </w:tc>
        <w:tc>
          <w:tcPr>
            <w:tcW w:w="726" w:type="dxa"/>
          </w:tcPr>
          <w:p w14:paraId="22D95E26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19ABC98" w14:textId="084B0C62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two column vectors which are </w:t>
            </w:r>
            <w:proofErr w:type="gramStart"/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parallel;</w:t>
            </w:r>
            <w:proofErr w:type="gramEnd"/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14:paraId="2841CC8A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4B4A28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652EFF61" w14:textId="0B2B8BD3" w:rsidR="004B4A28" w:rsidRPr="001C3B09" w:rsidRDefault="004B4A28" w:rsidP="004B4A28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using column vectors, and represent graphically, the sum of two vectors, the difference of two vectors and a scalar multiple of a vector. </w:t>
            </w:r>
          </w:p>
        </w:tc>
        <w:tc>
          <w:tcPr>
            <w:tcW w:w="726" w:type="dxa"/>
          </w:tcPr>
          <w:p w14:paraId="57081703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4B4A28" w:rsidRPr="001C3B09" w:rsidRDefault="004B4A28" w:rsidP="004B4A2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209FC7FD" w:rsidR="0032573D" w:rsidRDefault="004B4A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EAC4B" wp14:editId="040A56A2">
                <wp:simplePos x="0" y="0"/>
                <wp:positionH relativeFrom="margin">
                  <wp:align>left</wp:align>
                </wp:positionH>
                <wp:positionV relativeFrom="paragraph">
                  <wp:posOffset>6391275</wp:posOffset>
                </wp:positionV>
                <wp:extent cx="6734175" cy="17526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E25DE8" w14:textId="77777777" w:rsidR="00334E2A" w:rsidRPr="001C3B09" w:rsidRDefault="00334E2A" w:rsidP="00334E2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2C39822C" w14:textId="6D9F1E4D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r w:rsidR="00C710BD">
                              <w:rPr>
                                <w:sz w:val="24"/>
                                <w:szCs w:val="24"/>
                              </w:rPr>
                              <w:t xml:space="preserve">know the rules for </w:t>
                            </w:r>
                            <w:proofErr w:type="gramStart"/>
                            <w:r w:rsidR="00C710BD">
                              <w:rPr>
                                <w:sz w:val="24"/>
                                <w:szCs w:val="24"/>
                              </w:rPr>
                              <w:t>congruence, and</w:t>
                            </w:r>
                            <w:proofErr w:type="gramEnd"/>
                            <w:r w:rsidR="00C710BD">
                              <w:rPr>
                                <w:sz w:val="24"/>
                                <w:szCs w:val="24"/>
                              </w:rPr>
                              <w:t xml:space="preserve"> will be able to work out when two shapes are similar.</w:t>
                            </w:r>
                            <w:r w:rsidR="004B4A28">
                              <w:rPr>
                                <w:sz w:val="24"/>
                                <w:szCs w:val="24"/>
                              </w:rPr>
                              <w:t xml:space="preserve"> You will know the column form for vectors. </w:t>
                            </w:r>
                            <w:r w:rsidR="00C710B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43933F" w14:textId="1EE368B3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You will apply the </w:t>
                            </w:r>
                            <w:r w:rsidR="00C710BD">
                              <w:rPr>
                                <w:sz w:val="24"/>
                                <w:szCs w:val="24"/>
                              </w:rPr>
                              <w:t xml:space="preserve">processes from this topic to calculate missing side lengths in similar shapes and to understand the effect of similarity on area and volume. </w:t>
                            </w:r>
                            <w:r w:rsidR="004B4A28">
                              <w:rPr>
                                <w:sz w:val="24"/>
                                <w:szCs w:val="24"/>
                              </w:rPr>
                              <w:t xml:space="preserve">You will be able to use vectors to establish whether two lines are parallel. </w:t>
                            </w:r>
                          </w:p>
                          <w:p w14:paraId="7C74B9BD" w14:textId="550B4B65" w:rsidR="00334E2A" w:rsidRPr="001C3B09" w:rsidRDefault="00334E2A" w:rsidP="00334E2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 will use your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problem solving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skills and mastery of </w:t>
                            </w:r>
                            <w:r w:rsidR="004B4A28">
                              <w:rPr>
                                <w:sz w:val="24"/>
                                <w:szCs w:val="24"/>
                              </w:rPr>
                              <w:t xml:space="preserve">this topic to make links between similarity and other areas of maths such as scale drawings or bearings.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EAC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03.25pt;width:530.25pt;height:13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" fillcolor="white [3201]" strokeweight="1.5pt">
                <v:textbox>
                  <w:txbxContent>
                    <w:p w14:paraId="69E25DE8" w14:textId="77777777" w:rsidR="00334E2A" w:rsidRPr="001C3B09" w:rsidRDefault="00334E2A" w:rsidP="00334E2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2C39822C" w14:textId="6D9F1E4D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</w:t>
                      </w:r>
                      <w:r w:rsidR="00C710BD">
                        <w:rPr>
                          <w:sz w:val="24"/>
                          <w:szCs w:val="24"/>
                        </w:rPr>
                        <w:t xml:space="preserve">know the rules for </w:t>
                      </w:r>
                      <w:proofErr w:type="gramStart"/>
                      <w:r w:rsidR="00C710BD">
                        <w:rPr>
                          <w:sz w:val="24"/>
                          <w:szCs w:val="24"/>
                        </w:rPr>
                        <w:t>congruence, and</w:t>
                      </w:r>
                      <w:proofErr w:type="gramEnd"/>
                      <w:r w:rsidR="00C710BD">
                        <w:rPr>
                          <w:sz w:val="24"/>
                          <w:szCs w:val="24"/>
                        </w:rPr>
                        <w:t xml:space="preserve"> will be able to work out when two shapes are similar.</w:t>
                      </w:r>
                      <w:r w:rsidR="004B4A28">
                        <w:rPr>
                          <w:sz w:val="24"/>
                          <w:szCs w:val="24"/>
                        </w:rPr>
                        <w:t xml:space="preserve"> You will know the column form for vectors. </w:t>
                      </w:r>
                      <w:r w:rsidR="00C710B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543933F" w14:textId="1EE368B3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You will apply the </w:t>
                      </w:r>
                      <w:r w:rsidR="00C710BD">
                        <w:rPr>
                          <w:sz w:val="24"/>
                          <w:szCs w:val="24"/>
                        </w:rPr>
                        <w:t xml:space="preserve">processes from this topic to calculate missing side lengths in similar shapes and to understand the effect of similarity on area and volume. </w:t>
                      </w:r>
                      <w:r w:rsidR="004B4A28">
                        <w:rPr>
                          <w:sz w:val="24"/>
                          <w:szCs w:val="24"/>
                        </w:rPr>
                        <w:t xml:space="preserve">You will be able to use vectors to establish whether two lines are parallel. </w:t>
                      </w:r>
                    </w:p>
                    <w:p w14:paraId="7C74B9BD" w14:textId="550B4B65" w:rsidR="00334E2A" w:rsidRPr="001C3B09" w:rsidRDefault="00334E2A" w:rsidP="00334E2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sz w:val="24"/>
                          <w:szCs w:val="24"/>
                        </w:rPr>
                        <w:t xml:space="preserve">You will use your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problem solving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skills and mastery of </w:t>
                      </w:r>
                      <w:r w:rsidR="004B4A28">
                        <w:rPr>
                          <w:sz w:val="24"/>
                          <w:szCs w:val="24"/>
                        </w:rPr>
                        <w:t xml:space="preserve">this topic to make links between similarity and other areas of maths such as scale drawings or bearings.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C3B09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2476"/>
    <w:rsid w:val="000A4ADB"/>
    <w:rsid w:val="000B079A"/>
    <w:rsid w:val="000F0257"/>
    <w:rsid w:val="00134D1B"/>
    <w:rsid w:val="00136E93"/>
    <w:rsid w:val="001C3968"/>
    <w:rsid w:val="001C3B09"/>
    <w:rsid w:val="001E2E1B"/>
    <w:rsid w:val="001E6A96"/>
    <w:rsid w:val="001E7AF2"/>
    <w:rsid w:val="00274AAC"/>
    <w:rsid w:val="002A28AD"/>
    <w:rsid w:val="002F259E"/>
    <w:rsid w:val="0032573D"/>
    <w:rsid w:val="00334E2A"/>
    <w:rsid w:val="0033675A"/>
    <w:rsid w:val="003459B1"/>
    <w:rsid w:val="003B3F69"/>
    <w:rsid w:val="003C6DFD"/>
    <w:rsid w:val="00470D54"/>
    <w:rsid w:val="00471B37"/>
    <w:rsid w:val="00497578"/>
    <w:rsid w:val="004B4A28"/>
    <w:rsid w:val="004C50D5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710BD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5F1961-3917-434B-AE43-8C8254940E62}"/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Katy Dale</cp:lastModifiedBy>
  <cp:revision>3</cp:revision>
  <cp:lastPrinted>2019-06-10T12:24:00Z</cp:lastPrinted>
  <dcterms:created xsi:type="dcterms:W3CDTF">2020-04-27T13:13:00Z</dcterms:created>
  <dcterms:modified xsi:type="dcterms:W3CDTF">2020-04-27T13:19:00Z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