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57D73229" w14:textId="77777777" w:rsidR="00E96AE5" w:rsidRPr="004F0369" w:rsidRDefault="00E96AE5" w:rsidP="00E96A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0369">
              <w:rPr>
                <w:rFonts w:ascii="Times New Roman" w:hAnsi="Times New Roman" w:cs="Times New Roman"/>
                <w:b/>
              </w:rPr>
              <w:t xml:space="preserve">Business GCSE </w:t>
            </w:r>
          </w:p>
          <w:p w14:paraId="28B4EA70" w14:textId="3F076C1B" w:rsidR="00E85B48" w:rsidRPr="004F0369" w:rsidRDefault="00DB12B6" w:rsidP="00E96A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E76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15E83">
              <w:rPr>
                <w:rFonts w:ascii="Times New Roman" w:hAnsi="Times New Roman" w:cs="Times New Roman"/>
                <w:b/>
              </w:rPr>
              <w:t>Spotting a Business Opportunity</w:t>
            </w:r>
            <w:bookmarkStart w:id="0" w:name="_GoBack"/>
            <w:bookmarkEnd w:id="0"/>
            <w:r w:rsidR="00DF21BB" w:rsidRPr="004F03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4367913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sz w:val="20"/>
              </w:rPr>
              <w:t xml:space="preserve">In this unit you will investigate </w:t>
            </w:r>
            <w:r w:rsidR="004F0369" w:rsidRPr="004F0369">
              <w:rPr>
                <w:rFonts w:ascii="Times New Roman" w:hAnsi="Times New Roman" w:cs="Times New Roman"/>
                <w:sz w:val="20"/>
              </w:rPr>
              <w:t>business calculations and business performance</w:t>
            </w:r>
          </w:p>
          <w:p w14:paraId="4F2EF46A" w14:textId="266CD5A4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LG1</w:t>
            </w:r>
            <w:r w:rsidRPr="004F0369">
              <w:rPr>
                <w:rFonts w:ascii="Times New Roman" w:hAnsi="Times New Roman" w:cs="Times New Roman"/>
                <w:sz w:val="20"/>
              </w:rPr>
              <w:t>: Knowledge</w:t>
            </w:r>
          </w:p>
          <w:p w14:paraId="384CC0B5" w14:textId="6E7B450D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LG2</w:t>
            </w:r>
            <w:r w:rsidRPr="004F0369">
              <w:rPr>
                <w:rFonts w:ascii="Times New Roman" w:hAnsi="Times New Roman" w:cs="Times New Roman"/>
                <w:sz w:val="20"/>
              </w:rPr>
              <w:t>: Application</w:t>
            </w:r>
          </w:p>
          <w:p w14:paraId="49C0DC09" w14:textId="32861EEB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LG3</w:t>
            </w:r>
            <w:r w:rsidRPr="004F0369">
              <w:rPr>
                <w:rFonts w:ascii="Times New Roman" w:hAnsi="Times New Roman" w:cs="Times New Roman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F897A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84AA426" w14:textId="77777777" w:rsidR="00DB12B6" w:rsidRPr="00DB12B6" w:rsidRDefault="00DB12B6" w:rsidP="00DB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B6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</w:p>
          <w:p w14:paraId="62882CE7" w14:textId="45B64DD9" w:rsidR="00DB12B6" w:rsidRPr="00DB12B6" w:rsidRDefault="00BF4896" w:rsidP="00DB12B6">
            <w:pPr>
              <w:pStyle w:val="Topic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1.2.1 Customer needs</w:t>
            </w:r>
          </w:p>
          <w:p w14:paraId="59E8F3DE" w14:textId="2180B359" w:rsidR="00CE49C5" w:rsidRPr="00DB12B6" w:rsidRDefault="00CE49C5" w:rsidP="00E9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2353C29" w14:textId="77777777" w:rsidR="00AE7A0D" w:rsidRPr="00CA4C2D" w:rsidRDefault="00AE7A0D" w:rsidP="00CA4C2D">
            <w:pPr>
              <w:pStyle w:val="Text-bullet"/>
              <w:numPr>
                <w:ilvl w:val="0"/>
                <w:numId w:val="0"/>
              </w:numPr>
              <w:spacing w:before="0" w:after="0"/>
              <w:ind w:left="340" w:hanging="340"/>
              <w:rPr>
                <w:rFonts w:ascii="Arial Narrow" w:hAnsi="Arial Narrow"/>
              </w:rPr>
            </w:pPr>
            <w:r w:rsidRPr="00CA4C2D">
              <w:rPr>
                <w:rFonts w:ascii="Arial Narrow" w:hAnsi="Arial Narrow"/>
              </w:rPr>
              <w:t>LG1: to describe four main customer needs that a business must consider</w:t>
            </w:r>
          </w:p>
          <w:p w14:paraId="1F51AFB0" w14:textId="77777777" w:rsidR="00AE7A0D" w:rsidRPr="00CA4C2D" w:rsidRDefault="00AE7A0D" w:rsidP="00CA4C2D">
            <w:pPr>
              <w:pStyle w:val="Text-bullet"/>
              <w:numPr>
                <w:ilvl w:val="0"/>
                <w:numId w:val="0"/>
              </w:numPr>
              <w:spacing w:before="0" w:after="0"/>
              <w:rPr>
                <w:rFonts w:ascii="Arial Narrow" w:hAnsi="Arial Narrow"/>
              </w:rPr>
            </w:pPr>
            <w:r w:rsidRPr="00CA4C2D">
              <w:rPr>
                <w:rFonts w:ascii="Arial Narrow" w:hAnsi="Arial Narrow"/>
              </w:rPr>
              <w:t>LG2: to use examples to explain the importance of meeting customer needs with examples</w:t>
            </w:r>
          </w:p>
          <w:p w14:paraId="6211553F" w14:textId="1BCDAEA8" w:rsidR="00E96AE5" w:rsidRPr="00CA4C2D" w:rsidRDefault="00AE7A0D" w:rsidP="00CA4C2D">
            <w:pPr>
              <w:pStyle w:val="Text-bullet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/>
              </w:rPr>
            </w:pPr>
            <w:r w:rsidRPr="00CA4C2D">
              <w:rPr>
                <w:rFonts w:ascii="Arial Narrow" w:hAnsi="Arial Narrow"/>
              </w:rPr>
              <w:t>LG3: to analyse and evaluate the importance of meeting customer needs to the success of a business</w:t>
            </w: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CA4C2D">
        <w:trPr>
          <w:trHeight w:val="2382"/>
        </w:trPr>
        <w:tc>
          <w:tcPr>
            <w:tcW w:w="2547" w:type="dxa"/>
          </w:tcPr>
          <w:p w14:paraId="498DDBB4" w14:textId="7405F49C" w:rsidR="008E416C" w:rsidRPr="00DB12B6" w:rsidRDefault="00245A6F" w:rsidP="00CA4C2D">
            <w:pPr>
              <w:pStyle w:val="text"/>
              <w:numPr>
                <w:ilvl w:val="2"/>
                <w:numId w:val="14"/>
              </w:numPr>
              <w:rPr>
                <w:rFonts w:ascii="Times New Roman" w:hAnsi="Times New Roman" w:cs="Times New Roman"/>
                <w:szCs w:val="20"/>
              </w:rPr>
            </w:pPr>
            <w:r w:rsidRPr="00245A6F">
              <w:rPr>
                <w:rFonts w:ascii="Times New Roman" w:hAnsi="Times New Roman" w:cs="Times New Roman"/>
                <w:b/>
                <w:szCs w:val="20"/>
              </w:rPr>
              <w:t xml:space="preserve">Market research </w:t>
            </w:r>
          </w:p>
        </w:tc>
        <w:tc>
          <w:tcPr>
            <w:tcW w:w="5997" w:type="dxa"/>
            <w:gridSpan w:val="3"/>
          </w:tcPr>
          <w:p w14:paraId="65F368FD" w14:textId="17ADC95C" w:rsidR="008942F1" w:rsidRPr="00CA4C2D" w:rsidRDefault="00CA4C2D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LG1: t</w:t>
            </w:r>
            <w:r w:rsidR="008942F1" w:rsidRPr="00CA4C2D">
              <w:rPr>
                <w:rFonts w:ascii="Arial Narrow" w:hAnsi="Arial Narrow"/>
                <w:sz w:val="20"/>
                <w:szCs w:val="20"/>
              </w:rPr>
              <w:t>o identify with examples methods of primary and secondary research</w:t>
            </w:r>
          </w:p>
          <w:p w14:paraId="460F8F92" w14:textId="77777777" w:rsidR="008942F1" w:rsidRPr="00CA4C2D" w:rsidRDefault="008942F1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LG2: to explain the use of market research in identifying customer needs in given examples</w:t>
            </w:r>
          </w:p>
          <w:p w14:paraId="36367019" w14:textId="77777777" w:rsidR="00E96AE5" w:rsidRPr="00CA4C2D" w:rsidRDefault="008942F1" w:rsidP="008942F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LG3: to evaluate the use of market research in identifying customer needs</w:t>
            </w:r>
          </w:p>
          <w:p w14:paraId="61774D7B" w14:textId="77777777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 xml:space="preserve">LG1: identify qualitative and quantitative market research </w:t>
            </w:r>
          </w:p>
          <w:p w14:paraId="38E45382" w14:textId="77777777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LG1: to understand the role of social media in collecting market research data</w:t>
            </w:r>
          </w:p>
          <w:p w14:paraId="2A646451" w14:textId="77777777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 xml:space="preserve">LG2:to use market research to make business decisions </w:t>
            </w:r>
          </w:p>
          <w:p w14:paraId="686932D7" w14:textId="303A9414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LG3: To evaluate the usefulness of market research in identifying customer needs</w:t>
            </w:r>
          </w:p>
          <w:p w14:paraId="26D063E2" w14:textId="77777777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LG3: To evaluate the importance of the reliability of market research data</w:t>
            </w:r>
          </w:p>
          <w:p w14:paraId="41477595" w14:textId="0A13D747" w:rsidR="00662CC8" w:rsidRPr="00CA4C2D" w:rsidRDefault="00662CC8" w:rsidP="008942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8D491A" w14:paraId="0FBDD03C" w14:textId="77777777" w:rsidTr="00B24E5E">
        <w:trPr>
          <w:trHeight w:val="225"/>
        </w:trPr>
        <w:tc>
          <w:tcPr>
            <w:tcW w:w="2547" w:type="dxa"/>
          </w:tcPr>
          <w:p w14:paraId="7982F1BA" w14:textId="37C4F6DC" w:rsidR="00DB12B6" w:rsidRPr="00DB12B6" w:rsidRDefault="00DB12B6" w:rsidP="003928C4">
            <w:pPr>
              <w:pStyle w:val="ColorfulList-Accent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28C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245A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28C4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  <w:r w:rsidR="003928C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245A6F">
              <w:rPr>
                <w:rFonts w:ascii="Times New Roman" w:hAnsi="Times New Roman"/>
                <w:b/>
                <w:sz w:val="20"/>
                <w:szCs w:val="20"/>
              </w:rPr>
              <w:t>Market Segmentation</w:t>
            </w:r>
          </w:p>
          <w:p w14:paraId="63F525B8" w14:textId="1E4FFA4F" w:rsidR="00E96AE5" w:rsidRPr="00DB12B6" w:rsidRDefault="00E96AE5" w:rsidP="003928C4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B1AF72E" w14:textId="5BE7C6CD" w:rsidR="00662CC8" w:rsidRPr="00CA4C2D" w:rsidRDefault="00662CC8" w:rsidP="00CA4C2D">
            <w:pPr>
              <w:pStyle w:val="Text1"/>
              <w:numPr>
                <w:ilvl w:val="0"/>
                <w:numId w:val="0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LG1:</w:t>
            </w:r>
            <w:r w:rsidR="00CA4C2D">
              <w:rPr>
                <w:rFonts w:ascii="Arial Narrow" w:hAnsi="Arial Narrow"/>
                <w:sz w:val="20"/>
                <w:szCs w:val="20"/>
              </w:rPr>
              <w:t xml:space="preserve"> t</w:t>
            </w:r>
            <w:r w:rsidRPr="00CA4C2D">
              <w:rPr>
                <w:rFonts w:ascii="Arial Narrow" w:hAnsi="Arial Narrow"/>
                <w:sz w:val="20"/>
                <w:szCs w:val="20"/>
              </w:rPr>
              <w:t>o be able to identify customers.</w:t>
            </w:r>
          </w:p>
          <w:p w14:paraId="3489883D" w14:textId="77777777" w:rsidR="00662CC8" w:rsidRPr="00CA4C2D" w:rsidRDefault="00662CC8" w:rsidP="00CA4C2D">
            <w:pPr>
              <w:pStyle w:val="Text1"/>
              <w:numPr>
                <w:ilvl w:val="0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LG1: to understand how a market can be broken into different market segments</w:t>
            </w:r>
          </w:p>
          <w:p w14:paraId="1B3C4E8D" w14:textId="26BC12C3" w:rsidR="00662CC8" w:rsidRPr="00CA4C2D" w:rsidRDefault="00662CC8" w:rsidP="00CA4C2D">
            <w:pPr>
              <w:pStyle w:val="Text1"/>
              <w:numPr>
                <w:ilvl w:val="0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LG1:</w:t>
            </w:r>
            <w:r w:rsidR="00CA4C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4C2D">
              <w:rPr>
                <w:rFonts w:ascii="Arial Narrow" w:hAnsi="Arial Narrow"/>
                <w:sz w:val="20"/>
                <w:szCs w:val="20"/>
              </w:rPr>
              <w:t>To understand the types of customers that are being targeted.</w:t>
            </w:r>
          </w:p>
          <w:p w14:paraId="739E2826" w14:textId="420DCE9C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LG2:</w:t>
            </w:r>
            <w:r w:rsidR="00CA4C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4C2D">
              <w:rPr>
                <w:rFonts w:ascii="Arial Narrow" w:hAnsi="Arial Narrow"/>
                <w:sz w:val="20"/>
                <w:szCs w:val="20"/>
              </w:rPr>
              <w:t>To understand the position of a business in order to spot a gap in the market and analyse market segments and market maps</w:t>
            </w:r>
          </w:p>
          <w:p w14:paraId="15772B19" w14:textId="77777777" w:rsidR="00662CC8" w:rsidRPr="00CA4C2D" w:rsidRDefault="00662CC8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LG3: To be able to evaluate the use of market mapping to analyse a market and draw conclusions</w:t>
            </w:r>
          </w:p>
          <w:p w14:paraId="4EB4E1E1" w14:textId="1D2101BD" w:rsidR="008D491A" w:rsidRPr="00CA4C2D" w:rsidRDefault="008D491A" w:rsidP="00662CC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78F828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D4D35F" w14:textId="72B059F2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004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1985FFE0" w:rsidR="008B5004" w:rsidRPr="00DB12B6" w:rsidRDefault="002D7CC8" w:rsidP="002D7CC8">
            <w:pPr>
              <w:pStyle w:val="text"/>
              <w:ind w:left="0"/>
              <w:rPr>
                <w:rFonts w:ascii="Times New Roman" w:hAnsi="Times New Roman" w:cs="Times New Roman"/>
                <w:szCs w:val="20"/>
              </w:rPr>
            </w:pPr>
            <w:r w:rsidRPr="002D7CC8">
              <w:rPr>
                <w:rFonts w:ascii="Times New Roman" w:hAnsi="Times New Roman" w:cs="Times New Roman"/>
                <w:b/>
                <w:szCs w:val="20"/>
              </w:rPr>
              <w:t>1.2.4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2D7CC8">
              <w:rPr>
                <w:rFonts w:ascii="Times New Roman" w:hAnsi="Times New Roman" w:cs="Times New Roman"/>
                <w:b/>
                <w:szCs w:val="20"/>
              </w:rPr>
              <w:t>The competitive environment</w:t>
            </w:r>
          </w:p>
        </w:tc>
        <w:tc>
          <w:tcPr>
            <w:tcW w:w="5997" w:type="dxa"/>
            <w:gridSpan w:val="3"/>
          </w:tcPr>
          <w:p w14:paraId="3A79F576" w14:textId="77777777" w:rsidR="00CA4C2D" w:rsidRPr="00CA4C2D" w:rsidRDefault="00CA4C2D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LG1: To understand that there are competitors in the market</w:t>
            </w:r>
          </w:p>
          <w:p w14:paraId="73CA8D86" w14:textId="5C5B5400" w:rsidR="00CA4C2D" w:rsidRPr="00CA4C2D" w:rsidRDefault="00CA4C2D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LG1: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4C2D">
              <w:rPr>
                <w:rFonts w:ascii="Arial Narrow" w:hAnsi="Arial Narrow"/>
                <w:sz w:val="20"/>
                <w:szCs w:val="20"/>
              </w:rPr>
              <w:t>To know that competition have different strengths and weaknesses</w:t>
            </w:r>
          </w:p>
          <w:p w14:paraId="3CA44FD5" w14:textId="77777777" w:rsidR="00CA4C2D" w:rsidRPr="00CA4C2D" w:rsidRDefault="00CA4C2D" w:rsidP="00CA4C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4C2D">
              <w:rPr>
                <w:rFonts w:ascii="Arial Narrow" w:hAnsi="Arial Narrow"/>
                <w:sz w:val="20"/>
                <w:szCs w:val="20"/>
              </w:rPr>
              <w:t>LG2: To identify and analyse competitor strengths and weakness</w:t>
            </w:r>
          </w:p>
          <w:p w14:paraId="0697657D" w14:textId="77777777" w:rsidR="00CA4C2D" w:rsidRPr="00CA4C2D" w:rsidRDefault="00CA4C2D" w:rsidP="00CA4C2D">
            <w:pPr>
              <w:pStyle w:val="text"/>
              <w:ind w:left="0"/>
              <w:rPr>
                <w:rFonts w:ascii="Arial Narrow" w:hAnsi="Arial Narrow"/>
                <w:szCs w:val="20"/>
              </w:rPr>
            </w:pPr>
            <w:r w:rsidRPr="00CA4C2D">
              <w:rPr>
                <w:rFonts w:ascii="Arial Narrow" w:hAnsi="Arial Narrow"/>
                <w:szCs w:val="20"/>
              </w:rPr>
              <w:t>LG3: To evaluate competitor strengths and weaknesses</w:t>
            </w:r>
          </w:p>
          <w:p w14:paraId="32FE8BC8" w14:textId="5D33EBDE" w:rsidR="008B5004" w:rsidRPr="00CA4C2D" w:rsidRDefault="008B5004" w:rsidP="00CA4C2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E014193" w14:textId="38664D49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DAD39" w14:textId="7169E308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7C723F2" w14:textId="47AFBAF7" w:rsidR="00471B37" w:rsidRDefault="00662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3E0DED83">
                <wp:simplePos x="0" y="0"/>
                <wp:positionH relativeFrom="margin">
                  <wp:posOffset>-28575</wp:posOffset>
                </wp:positionH>
                <wp:positionV relativeFrom="paragraph">
                  <wp:posOffset>7181850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E96AE5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146722FA" w:rsidR="00DB12B6" w:rsidRPr="0001523D" w:rsidRDefault="00DB12B6" w:rsidP="00DB12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152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DB12B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This is your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6D7A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unit of Business studies </w:t>
                            </w:r>
                            <w:r w:rsidR="00F4016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and you will build on the idea of business enterprise, entrepreneurs and business ideas by understanding who, how and why businesses target as their customers.</w:t>
                            </w:r>
                            <w:r w:rsidR="00DD492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You will also consider the risk and reward involved.</w:t>
                            </w:r>
                          </w:p>
                          <w:p w14:paraId="58483D57" w14:textId="77777777" w:rsidR="00DB12B6" w:rsidRPr="0001523D" w:rsidRDefault="00DB12B6" w:rsidP="00DB12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152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0210C7B3" w:rsidR="00DB12B6" w:rsidRPr="0001523D" w:rsidRDefault="00DB12B6" w:rsidP="00DB12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1523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LG1: </w:t>
                            </w:r>
                            <w:r w:rsidR="00DD492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Profit </w:t>
                            </w:r>
                            <w:r w:rsidR="00DA164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is an important reward</w:t>
                            </w:r>
                            <w:r w:rsidR="008C54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</w:t>
                            </w:r>
                            <w:r w:rsidR="00DA164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this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oncept of profit is further developed in unit 1.3 (small business) and again 2.4 (business calculations).  Knowledge of </w:t>
                            </w:r>
                            <w:r w:rsidR="00DA164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the competitive environment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is developed in unit 1.5</w:t>
                            </w:r>
                          </w:p>
                          <w:p w14:paraId="7587D11B" w14:textId="55C167E0" w:rsidR="00DB12B6" w:rsidRPr="0001523D" w:rsidRDefault="00DB12B6" w:rsidP="00DB12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LG2: Throughout the course you will need to apply knowledge to given </w:t>
                            </w:r>
                            <w:r w:rsidR="00C05D1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target markets and understanding customer needs is an essential business concept.</w:t>
                            </w:r>
                          </w:p>
                          <w:p w14:paraId="34806E5B" w14:textId="248D3249" w:rsidR="00E96AE5" w:rsidRPr="0001523D" w:rsidRDefault="00DB12B6" w:rsidP="00DB12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1523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LG3: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Development of analysis and evaluation is vital for making business judgements throughout the course and in this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unit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we develop these skill</w:t>
                            </w:r>
                            <w:r w:rsidR="001E767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by considering gaps in the market and strengths and weaknesses of competitors.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565.5pt;width:530.25pt;height:156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C4ljvr3wAAAA0BAAAPAAAAZHJzL2Rvd25yZXYueG1sTE9BTsMwELwj8Qdrkbi1jklS&#10;0RCnAgSHcqNU6tWNTRJhryPbbdO+nu0JbjM7o9mZejU5y44mxMGjBDHPgBlsvR6wk7D9ep89AotJ&#10;oVbWo5FwNhFWze1NrSrtT/hpjpvUMQrBWCkJfUpjxXlse+NUnPvRIGnfPjiViIaO66BOFO4sf8iy&#10;BXdqQPrQq9G89qb92RychLeXj2W+Pq/H7aW7FDblYhdKIeX93fT8BCyZKf2Z4VqfqkNDnfb+gDoy&#10;K2FWlOSku8gFjbo6snJBaE+oKEjlTc3/r2h+AQAA//8DAFBLAQItABQABgAIAAAAIQC2gziS/gAA&#10;AOEBAAATAAAAAAAAAAAAAAAAAAAAAABbQ29udGVudF9UeXBlc10ueG1sUEsBAi0AFAAGAAgAAAAh&#10;ADj9If/WAAAAlAEAAAsAAAAAAAAAAAAAAAAALwEAAF9yZWxzLy5yZWxzUEsBAi0AFAAGAAgAAAAh&#10;AA4yyPxNAgAAowQAAA4AAAAAAAAAAAAAAAAALgIAAGRycy9lMm9Eb2MueG1sUEsBAi0AFAAGAAgA&#10;AAAhALiWO+vfAAAADQEAAA8AAAAAAAAAAAAAAAAApwQAAGRycy9kb3ducmV2LnhtbFBLBQYAAAAA&#10;BAAEAPMAAACzBQAAAAA=&#10;" fillcolor="white [3201]" strokeweight="1.5pt">
                <v:textbox>
                  <w:txbxContent>
                    <w:p w14:paraId="092FFFBE" w14:textId="53C2010D" w:rsidR="00471B37" w:rsidRPr="00E048FE" w:rsidRDefault="007D0FDE" w:rsidP="00E96AE5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146722FA" w:rsidR="00DB12B6" w:rsidRPr="0001523D" w:rsidRDefault="00DB12B6" w:rsidP="00DB12B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1523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Prior Knowledge: </w:t>
                      </w:r>
                      <w:r w:rsidRPr="00DB12B6">
                        <w:rPr>
                          <w:rFonts w:ascii="Times New Roman" w:hAnsi="Times New Roman" w:cs="Times New Roman"/>
                          <w:sz w:val="20"/>
                        </w:rPr>
                        <w:t>This is your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6D7A19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second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unit of Business studies </w:t>
                      </w:r>
                      <w:r w:rsidR="00F40161">
                        <w:rPr>
                          <w:rFonts w:ascii="Times New Roman" w:hAnsi="Times New Roman" w:cs="Times New Roman"/>
                          <w:sz w:val="20"/>
                        </w:rPr>
                        <w:t>and you will build on the idea of business enterprise, entrepreneurs and business ideas by understanding who, how and why businesses target as their customers.</w:t>
                      </w:r>
                      <w:r w:rsidR="00DD492E">
                        <w:rPr>
                          <w:rFonts w:ascii="Times New Roman" w:hAnsi="Times New Roman" w:cs="Times New Roman"/>
                          <w:sz w:val="20"/>
                        </w:rPr>
                        <w:t xml:space="preserve"> You will also consider the risk and reward involved.</w:t>
                      </w:r>
                    </w:p>
                    <w:p w14:paraId="58483D57" w14:textId="77777777" w:rsidR="00DB12B6" w:rsidRPr="0001523D" w:rsidRDefault="00DB12B6" w:rsidP="00DB12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1523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0210C7B3" w:rsidR="00DB12B6" w:rsidRPr="0001523D" w:rsidRDefault="00DB12B6" w:rsidP="00DB12B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1523D">
                        <w:rPr>
                          <w:rFonts w:ascii="Times New Roman" w:hAnsi="Times New Roman" w:cs="Times New Roman"/>
                          <w:sz w:val="20"/>
                        </w:rPr>
                        <w:t xml:space="preserve">LG1: </w:t>
                      </w:r>
                      <w:r w:rsidR="00DD492E">
                        <w:rPr>
                          <w:rFonts w:ascii="Times New Roman" w:hAnsi="Times New Roman" w:cs="Times New Roman"/>
                          <w:sz w:val="20"/>
                        </w:rPr>
                        <w:t xml:space="preserve">Profit </w:t>
                      </w:r>
                      <w:r w:rsidR="00DA1648">
                        <w:rPr>
                          <w:rFonts w:ascii="Times New Roman" w:hAnsi="Times New Roman" w:cs="Times New Roman"/>
                          <w:sz w:val="20"/>
                        </w:rPr>
                        <w:t>is an important reward</w:t>
                      </w:r>
                      <w:r w:rsidR="008C5473">
                        <w:rPr>
                          <w:rFonts w:ascii="Times New Roman" w:hAnsi="Times New Roman" w:cs="Times New Roman"/>
                          <w:sz w:val="20"/>
                        </w:rPr>
                        <w:t xml:space="preserve"> and</w:t>
                      </w:r>
                      <w:r w:rsidR="00DA1648">
                        <w:rPr>
                          <w:rFonts w:ascii="Times New Roman" w:hAnsi="Times New Roman" w:cs="Times New Roman"/>
                          <w:sz w:val="20"/>
                        </w:rPr>
                        <w:t xml:space="preserve"> this c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oncept of profit is further developed in unit 1.3 (small business) and again 2.4 (business calculations).  Knowledge of </w:t>
                      </w:r>
                      <w:r w:rsidR="00DA1648">
                        <w:rPr>
                          <w:rFonts w:ascii="Times New Roman" w:hAnsi="Times New Roman" w:cs="Times New Roman"/>
                          <w:sz w:val="20"/>
                        </w:rPr>
                        <w:t>the competitive environment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is developed in unit 1.5</w:t>
                      </w:r>
                    </w:p>
                    <w:p w14:paraId="7587D11B" w14:textId="55C167E0" w:rsidR="00DB12B6" w:rsidRPr="0001523D" w:rsidRDefault="00DB12B6" w:rsidP="00DB12B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LG2: Throughout the course you will need to apply knowledge to given </w:t>
                      </w:r>
                      <w:r w:rsidR="00C05D1E">
                        <w:rPr>
                          <w:rFonts w:ascii="Times New Roman" w:hAnsi="Times New Roman" w:cs="Times New Roman"/>
                          <w:sz w:val="20"/>
                        </w:rPr>
                        <w:t>target markets and understanding customer needs is an essential business concept.</w:t>
                      </w:r>
                    </w:p>
                    <w:p w14:paraId="34806E5B" w14:textId="248D3249" w:rsidR="00E96AE5" w:rsidRPr="0001523D" w:rsidRDefault="00DB12B6" w:rsidP="00DB12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1523D">
                        <w:rPr>
                          <w:rFonts w:ascii="Times New Roman" w:hAnsi="Times New Roman" w:cs="Times New Roman"/>
                          <w:sz w:val="20"/>
                        </w:rPr>
                        <w:t xml:space="preserve">LG3: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Development of analysis and evaluation is vital for making business judgements throughout the course and in this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unit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we develop these skill</w:t>
                      </w:r>
                      <w:r w:rsidR="001E767A">
                        <w:rPr>
                          <w:rFonts w:ascii="Times New Roman" w:hAnsi="Times New Roman" w:cs="Times New Roman"/>
                          <w:sz w:val="20"/>
                        </w:rPr>
                        <w:t xml:space="preserve"> by considering gaps in the market and strengths and weaknesses of competitors.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5635E"/>
    <w:multiLevelType w:val="multilevel"/>
    <w:tmpl w:val="C556FB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7E57"/>
    <w:multiLevelType w:val="hybridMultilevel"/>
    <w:tmpl w:val="A0568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7A50"/>
    <w:multiLevelType w:val="hybridMultilevel"/>
    <w:tmpl w:val="E7F8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28A5"/>
    <w:multiLevelType w:val="hybridMultilevel"/>
    <w:tmpl w:val="88CA1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B34DE"/>
    <w:multiLevelType w:val="hybridMultilevel"/>
    <w:tmpl w:val="4C58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059E"/>
    <w:multiLevelType w:val="hybridMultilevel"/>
    <w:tmpl w:val="8376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60C50"/>
    <w:rsid w:val="000A4ADB"/>
    <w:rsid w:val="000B079A"/>
    <w:rsid w:val="000F0257"/>
    <w:rsid w:val="00115E83"/>
    <w:rsid w:val="00137975"/>
    <w:rsid w:val="001C3968"/>
    <w:rsid w:val="001E2CA9"/>
    <w:rsid w:val="001E6A96"/>
    <w:rsid w:val="001E767A"/>
    <w:rsid w:val="001E7AF2"/>
    <w:rsid w:val="00245A6F"/>
    <w:rsid w:val="00274AAC"/>
    <w:rsid w:val="002A28AD"/>
    <w:rsid w:val="002D7CC8"/>
    <w:rsid w:val="002F259E"/>
    <w:rsid w:val="0033675A"/>
    <w:rsid w:val="003459B1"/>
    <w:rsid w:val="00390180"/>
    <w:rsid w:val="003928C4"/>
    <w:rsid w:val="003B3F69"/>
    <w:rsid w:val="003C6DFD"/>
    <w:rsid w:val="004044C5"/>
    <w:rsid w:val="00470D54"/>
    <w:rsid w:val="00471B37"/>
    <w:rsid w:val="004C50D5"/>
    <w:rsid w:val="004D42C0"/>
    <w:rsid w:val="004D4AD1"/>
    <w:rsid w:val="004F0369"/>
    <w:rsid w:val="00500F22"/>
    <w:rsid w:val="00523203"/>
    <w:rsid w:val="00551A7B"/>
    <w:rsid w:val="00584245"/>
    <w:rsid w:val="00642A9E"/>
    <w:rsid w:val="00662CC8"/>
    <w:rsid w:val="006D7A19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942F1"/>
    <w:rsid w:val="008A1A2A"/>
    <w:rsid w:val="008B5004"/>
    <w:rsid w:val="008C5473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AE7A0D"/>
    <w:rsid w:val="00B23497"/>
    <w:rsid w:val="00B24E5E"/>
    <w:rsid w:val="00B85982"/>
    <w:rsid w:val="00BC1C13"/>
    <w:rsid w:val="00BF4896"/>
    <w:rsid w:val="00C010E9"/>
    <w:rsid w:val="00C05D1E"/>
    <w:rsid w:val="00C37D92"/>
    <w:rsid w:val="00C46DA0"/>
    <w:rsid w:val="00C7069B"/>
    <w:rsid w:val="00CA4C2D"/>
    <w:rsid w:val="00CE49C5"/>
    <w:rsid w:val="00CF284B"/>
    <w:rsid w:val="00D137E1"/>
    <w:rsid w:val="00D535E3"/>
    <w:rsid w:val="00DA1648"/>
    <w:rsid w:val="00DB12B6"/>
    <w:rsid w:val="00DD492E"/>
    <w:rsid w:val="00DF21BB"/>
    <w:rsid w:val="00E048FE"/>
    <w:rsid w:val="00E27C22"/>
    <w:rsid w:val="00E50992"/>
    <w:rsid w:val="00E54214"/>
    <w:rsid w:val="00E85B48"/>
    <w:rsid w:val="00E904C9"/>
    <w:rsid w:val="00E96AE5"/>
    <w:rsid w:val="00F15695"/>
    <w:rsid w:val="00F40161"/>
    <w:rsid w:val="00F5576E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7A0D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E7A0D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Text1">
    <w:name w:val="Text1"/>
    <w:basedOn w:val="Normal"/>
    <w:rsid w:val="00662CC8"/>
    <w:pPr>
      <w:numPr>
        <w:numId w:val="10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terms/"/>
    <ds:schemaRef ds:uri="3cde8ce8-497b-4d58-ad3b-77e996642cc8"/>
    <ds:schemaRef ds:uri="http://schemas.microsoft.com/office/2006/documentManagement/types"/>
    <ds:schemaRef ds:uri="1c2ace7b-0193-49d6-b28f-a6c5f1daf0a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823A1F-AF25-4EE0-A503-159115E53BA7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22</cp:revision>
  <cp:lastPrinted>2019-07-18T11:43:00Z</cp:lastPrinted>
  <dcterms:created xsi:type="dcterms:W3CDTF">2019-09-01T19:40:00Z</dcterms:created>
  <dcterms:modified xsi:type="dcterms:W3CDTF">2019-09-01T19:59:00Z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